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05A" w:rsidRPr="00F87C9C" w:rsidRDefault="00C52816" w:rsidP="00FA3B32">
      <w:pPr>
        <w:pStyle w:val="JMEEArticleinfo"/>
      </w:pPr>
      <w:bookmarkStart w:id="0" w:name="_Toc467336705"/>
      <w:bookmarkStart w:id="1" w:name="_GoBack"/>
      <w:bookmarkEnd w:id="1"/>
      <w:r w:rsidRPr="00F87C9C">
        <w:rPr>
          <w:lang w:val="pl-PL"/>
        </w:rPr>
        <w:drawing>
          <wp:anchor distT="0" distB="0" distL="114300" distR="114300" simplePos="0" relativeHeight="251658240" behindDoc="0" locked="0" layoutInCell="1" allowOverlap="1">
            <wp:simplePos x="0" y="0"/>
            <wp:positionH relativeFrom="column">
              <wp:posOffset>-11430</wp:posOffset>
            </wp:positionH>
            <wp:positionV relativeFrom="paragraph">
              <wp:posOffset>-2540</wp:posOffset>
            </wp:positionV>
            <wp:extent cx="1878330" cy="393700"/>
            <wp:effectExtent l="19050" t="0" r="7620" b="0"/>
            <wp:wrapNone/>
            <wp:docPr id="3" name="Obraz 2" descr="log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JPG"/>
                    <pic:cNvPicPr/>
                  </pic:nvPicPr>
                  <pic:blipFill>
                    <a:blip r:embed="rId9" cstate="print"/>
                    <a:stretch>
                      <a:fillRect/>
                    </a:stretch>
                  </pic:blipFill>
                  <pic:spPr>
                    <a:xfrm>
                      <a:off x="0" y="0"/>
                      <a:ext cx="1878330" cy="393700"/>
                    </a:xfrm>
                    <a:prstGeom prst="rect">
                      <a:avLst/>
                    </a:prstGeom>
                  </pic:spPr>
                </pic:pic>
              </a:graphicData>
            </a:graphic>
          </wp:anchor>
        </w:drawing>
      </w:r>
      <w:r w:rsidRPr="00F87C9C">
        <w:tab/>
      </w:r>
      <w:r w:rsidR="00E5716E" w:rsidRPr="00F87C9C">
        <w:t xml:space="preserve">ISSN: </w:t>
      </w:r>
      <w:r w:rsidR="00736BB7">
        <w:t>2544-0780</w:t>
      </w:r>
    </w:p>
    <w:p w:rsidR="00C52816" w:rsidRPr="00F87C9C" w:rsidRDefault="00C52816" w:rsidP="00FA3B32">
      <w:pPr>
        <w:pStyle w:val="JMEEArticleinfo"/>
      </w:pPr>
      <w:r w:rsidRPr="00F87C9C">
        <w:tab/>
      </w:r>
      <w:r w:rsidR="001B775D" w:rsidRPr="00F87C9C">
        <w:t>Vol. 1 |</w:t>
      </w:r>
      <w:r w:rsidR="00E5716E" w:rsidRPr="00F87C9C">
        <w:t xml:space="preserve"> No. 1</w:t>
      </w:r>
      <w:r w:rsidR="001B775D" w:rsidRPr="00F87C9C">
        <w:t xml:space="preserve"> |</w:t>
      </w:r>
      <w:r w:rsidR="00702248" w:rsidRPr="00F87C9C">
        <w:t xml:space="preserve"> 20</w:t>
      </w:r>
      <w:r w:rsidR="00B025FF" w:rsidRPr="00F87C9C">
        <w:t>17</w:t>
      </w:r>
      <w:r w:rsidR="001B775D" w:rsidRPr="00F87C9C">
        <w:t xml:space="preserve"> | </w:t>
      </w:r>
      <w:r w:rsidRPr="00F87C9C">
        <w:tab/>
      </w:r>
      <w:r w:rsidR="00E5716E" w:rsidRPr="00F87C9C">
        <w:t xml:space="preserve">pp. </w:t>
      </w:r>
      <w:r w:rsidR="000E69BD" w:rsidRPr="00F87C9C">
        <w:t>1</w:t>
      </w:r>
      <w:r w:rsidR="00816E21" w:rsidRPr="00F87C9C">
        <w:t>-</w:t>
      </w:r>
      <w:r w:rsidR="000E69BD" w:rsidRPr="00F87C9C">
        <w:t>8</w:t>
      </w:r>
    </w:p>
    <w:p w:rsidR="001B775D" w:rsidRPr="00F87C9C" w:rsidRDefault="001B775D" w:rsidP="00FA3B32">
      <w:pPr>
        <w:pStyle w:val="JMEEArticleinfo"/>
      </w:pPr>
      <w:r w:rsidRPr="00F87C9C">
        <w:t>DOI: XXXXXXXXXXXXXXXXX</w:t>
      </w:r>
    </w:p>
    <w:bookmarkEnd w:id="0"/>
    <w:p w:rsidR="0004575B" w:rsidRPr="00F87C9C" w:rsidRDefault="00F22388" w:rsidP="00073E22">
      <w:pPr>
        <w:pStyle w:val="JMEEArticletitle"/>
      </w:pPr>
      <w:r w:rsidRPr="00F87C9C">
        <w:t>Effect of macro-geometry of the grinding wheel active surface on traverse internal cylindrical grinding process</w:t>
      </w:r>
    </w:p>
    <w:p w:rsidR="0007105A" w:rsidRPr="00F87C9C" w:rsidRDefault="00F22388" w:rsidP="00FA3B32">
      <w:pPr>
        <w:pStyle w:val="JMEEAuthors"/>
      </w:pPr>
      <w:r w:rsidRPr="00F87C9C">
        <w:t>Krzysztof NADOLNY</w:t>
      </w:r>
      <w:r w:rsidRPr="00F87C9C">
        <w:rPr>
          <w:vertAlign w:val="superscript"/>
        </w:rPr>
        <w:t>1</w:t>
      </w:r>
      <w:r w:rsidR="003C5E27" w:rsidRPr="00F87C9C">
        <w:rPr>
          <w:vertAlign w:val="superscript"/>
        </w:rPr>
        <w:t>*</w:t>
      </w:r>
      <w:r w:rsidR="00E5716E" w:rsidRPr="00F87C9C">
        <w:t xml:space="preserve">, </w:t>
      </w:r>
      <w:r w:rsidRPr="00F87C9C">
        <w:t>Wojciech KAPŁONEK</w:t>
      </w:r>
      <w:r w:rsidRPr="00F87C9C">
        <w:rPr>
          <w:vertAlign w:val="superscript"/>
        </w:rPr>
        <w:t>2</w:t>
      </w:r>
      <w:r w:rsidRPr="00F87C9C">
        <w:t>, Nicolae UNGUREANU</w:t>
      </w:r>
      <w:r w:rsidRPr="00F87C9C">
        <w:rPr>
          <w:vertAlign w:val="superscript"/>
        </w:rPr>
        <w:t>3</w:t>
      </w:r>
    </w:p>
    <w:p w:rsidR="0007105A" w:rsidRPr="00F87C9C" w:rsidRDefault="00143085" w:rsidP="00FA3B32">
      <w:pPr>
        <w:pStyle w:val="JMEEAffiliations"/>
      </w:pPr>
      <w:r w:rsidRPr="00F87C9C">
        <w:rPr>
          <w:vertAlign w:val="superscript"/>
        </w:rPr>
        <w:t>1*</w:t>
      </w:r>
      <w:r w:rsidRPr="00F87C9C">
        <w:t xml:space="preserve"> </w:t>
      </w:r>
      <w:r w:rsidR="00F22388" w:rsidRPr="00F87C9C">
        <w:t>Faculty of Mechanical Engineering, Department of Production Engineering, Koszalin University of</w:t>
      </w:r>
      <w:r w:rsidR="00C97271" w:rsidRPr="00F87C9C">
        <w:t> </w:t>
      </w:r>
      <w:r w:rsidR="00F22388" w:rsidRPr="00F87C9C">
        <w:t>Technology, Raclawicka 15-17, 75-620, Koszalin, Poland, e-mail: krzysztof.nadolny@tu.koszalin.pl</w:t>
      </w:r>
    </w:p>
    <w:p w:rsidR="00143085" w:rsidRPr="00F87C9C" w:rsidRDefault="00143085" w:rsidP="00FA3B32">
      <w:pPr>
        <w:pStyle w:val="JMEEAffiliations"/>
      </w:pPr>
      <w:r w:rsidRPr="00F87C9C">
        <w:rPr>
          <w:vertAlign w:val="superscript"/>
        </w:rPr>
        <w:t>2</w:t>
      </w:r>
      <w:r w:rsidRPr="00F87C9C">
        <w:t xml:space="preserve"> </w:t>
      </w:r>
      <w:r w:rsidR="00F22388" w:rsidRPr="00F87C9C">
        <w:t>Faculty of Mechanical Engineering, Department of Production Engineering, Koszalin University of</w:t>
      </w:r>
      <w:r w:rsidR="00C97271" w:rsidRPr="00F87C9C">
        <w:t> </w:t>
      </w:r>
      <w:r w:rsidR="00F22388" w:rsidRPr="00F87C9C">
        <w:t>Technology, Poland</w:t>
      </w:r>
    </w:p>
    <w:p w:rsidR="00F22388" w:rsidRPr="00F87C9C" w:rsidRDefault="00F22388" w:rsidP="00FA3B32">
      <w:pPr>
        <w:pStyle w:val="JMEEAffiliations"/>
      </w:pPr>
      <w:r w:rsidRPr="00F87C9C">
        <w:rPr>
          <w:vertAlign w:val="superscript"/>
        </w:rPr>
        <w:t>3</w:t>
      </w:r>
      <w:r w:rsidRPr="00F87C9C">
        <w:t xml:space="preserve"> Department of Engineering and Technological Management, Technical University of Cluj Napoca, North</w:t>
      </w:r>
      <w:r w:rsidR="00C97271" w:rsidRPr="00F87C9C">
        <w:t> </w:t>
      </w:r>
      <w:r w:rsidRPr="00F87C9C">
        <w:t>University Center of Baia Mare, Romania</w:t>
      </w:r>
    </w:p>
    <w:p w:rsidR="0007105A" w:rsidRPr="00F87C9C" w:rsidRDefault="0007105A" w:rsidP="00FA3B32">
      <w:pPr>
        <w:pStyle w:val="JMEEReceived"/>
      </w:pPr>
      <w:r w:rsidRPr="00F87C9C">
        <w:t>(Rec</w:t>
      </w:r>
      <w:r w:rsidR="002C6DF4" w:rsidRPr="00F87C9C">
        <w:t>e</w:t>
      </w:r>
      <w:r w:rsidRPr="00F87C9C">
        <w:t xml:space="preserve">ived </w:t>
      </w:r>
      <w:r w:rsidR="00F22388" w:rsidRPr="00F87C9C">
        <w:t>3</w:t>
      </w:r>
      <w:r w:rsidRPr="00F87C9C">
        <w:t xml:space="preserve"> </w:t>
      </w:r>
      <w:r w:rsidR="00F22388" w:rsidRPr="00F87C9C">
        <w:t>March</w:t>
      </w:r>
      <w:r w:rsidRPr="00F87C9C">
        <w:t xml:space="preserve"> 20</w:t>
      </w:r>
      <w:r w:rsidR="00F22388" w:rsidRPr="00F87C9C">
        <w:t>17</w:t>
      </w:r>
      <w:r w:rsidR="00E5716E" w:rsidRPr="00F87C9C">
        <w:t xml:space="preserve">, Accepted </w:t>
      </w:r>
      <w:r w:rsidR="00F22388" w:rsidRPr="00F87C9C">
        <w:t>26</w:t>
      </w:r>
      <w:r w:rsidR="00E5716E" w:rsidRPr="00F87C9C">
        <w:t xml:space="preserve"> </w:t>
      </w:r>
      <w:r w:rsidR="00F22388" w:rsidRPr="00F87C9C">
        <w:t>May</w:t>
      </w:r>
      <w:r w:rsidR="00E5716E" w:rsidRPr="00F87C9C">
        <w:t xml:space="preserve"> 20</w:t>
      </w:r>
      <w:r w:rsidR="00F22388" w:rsidRPr="00F87C9C">
        <w:t>17</w:t>
      </w:r>
      <w:r w:rsidRPr="00F87C9C">
        <w:t>)</w:t>
      </w:r>
    </w:p>
    <w:p w:rsidR="0007105A" w:rsidRPr="00F87C9C" w:rsidRDefault="0007105A" w:rsidP="000E66B6">
      <w:pPr>
        <w:pStyle w:val="JMEEAbstract"/>
      </w:pPr>
      <w:r w:rsidRPr="00F87C9C">
        <w:rPr>
          <w:b/>
        </w:rPr>
        <w:t>Abstract:</w:t>
      </w:r>
      <w:r w:rsidRPr="00F87C9C">
        <w:t xml:space="preserve"> </w:t>
      </w:r>
      <w:r w:rsidR="00F22388" w:rsidRPr="00F87C9C">
        <w:t>This article presents results of experimental tests of internal cylindrical traverse grinding in which the total machining allowance is removed in a single pass. Grinding wheels with zone-diversified structure made on basis of abrasive grains from Al</w:t>
      </w:r>
      <w:r w:rsidR="00F22388" w:rsidRPr="00F87C9C">
        <w:rPr>
          <w:vertAlign w:val="subscript"/>
        </w:rPr>
        <w:t>2</w:t>
      </w:r>
      <w:r w:rsidR="00F22388" w:rsidRPr="00F87C9C">
        <w:t>O</w:t>
      </w:r>
      <w:r w:rsidR="00F22388" w:rsidRPr="00F87C9C">
        <w:rPr>
          <w:vertAlign w:val="subscript"/>
        </w:rPr>
        <w:t>3</w:t>
      </w:r>
      <w:r w:rsidR="00F22388" w:rsidRPr="00F87C9C">
        <w:t xml:space="preserve"> were used in the process. Such tools are characterized by different construction of rough and finish grinding zones. Moreover, conic chamfer is shaped on their active surface that allows for even distribution of machining allowance on the grinding wheel surface. What is de</w:t>
      </w:r>
      <w:r w:rsidR="004C1AC0" w:rsidRPr="00F87C9C">
        <w:t>scribed in the hereby work is a </w:t>
      </w:r>
      <w:r w:rsidR="00F22388" w:rsidRPr="00F87C9C">
        <w:t>device for precise shaping of conic chamfer on the grinding wheel active surface (GWAS). The work also presents results of tests whose aim was to determine the influence of grinding wheel macrogeometry on the process of internal cylindrical traverse grinding of internal cylindrical surfaces made from steel 100Cr6. Changes of selected parameters of the machined surface geometric structure (</w:t>
      </w:r>
      <w:r w:rsidR="00F22388" w:rsidRPr="00F87C9C">
        <w:rPr>
          <w:i/>
        </w:rPr>
        <w:t>Ra</w:t>
      </w:r>
      <w:r w:rsidR="00F22388" w:rsidRPr="00F87C9C">
        <w:t xml:space="preserve">, </w:t>
      </w:r>
      <w:r w:rsidR="00F22388" w:rsidRPr="00F87C9C">
        <w:rPr>
          <w:i/>
        </w:rPr>
        <w:t>Rz</w:t>
      </w:r>
      <w:r w:rsidR="00F22388" w:rsidRPr="00F87C9C">
        <w:t xml:space="preserve">, </w:t>
      </w:r>
      <w:r w:rsidR="00F22388" w:rsidRPr="00F87C9C">
        <w:rPr>
          <w:i/>
        </w:rPr>
        <w:t>RSm</w:t>
      </w:r>
      <w:r w:rsidR="00F22388" w:rsidRPr="00F87C9C">
        <w:t xml:space="preserve">, </w:t>
      </w:r>
      <w:r w:rsidR="00F22388" w:rsidRPr="00F87C9C">
        <w:rPr>
          <w:i/>
        </w:rPr>
        <w:t>Rdq</w:t>
      </w:r>
      <w:r w:rsidR="00F22388" w:rsidRPr="00F87C9C">
        <w:t xml:space="preserve"> and </w:t>
      </w:r>
      <w:r w:rsidR="00F22388" w:rsidRPr="00F87C9C">
        <w:rPr>
          <w:i/>
        </w:rPr>
        <w:t>RTp</w:t>
      </w:r>
      <w:r w:rsidR="00F22388" w:rsidRPr="00F87C9C">
        <w:t xml:space="preserve">) and values of the grinding power </w:t>
      </w:r>
      <w:r w:rsidR="00F22388" w:rsidRPr="00F87C9C">
        <w:rPr>
          <w:i/>
        </w:rPr>
        <w:t>P</w:t>
      </w:r>
      <w:r w:rsidR="00F22388" w:rsidRPr="00F87C9C">
        <w:t xml:space="preserve"> were analyzed. It was proved that the greater the conic chamfer width, the better the results.</w:t>
      </w:r>
    </w:p>
    <w:p w:rsidR="0007105A" w:rsidRPr="00F87C9C" w:rsidRDefault="0007105A" w:rsidP="000E66B6">
      <w:pPr>
        <w:pStyle w:val="JMEEKeywords"/>
      </w:pPr>
      <w:r w:rsidRPr="00F87C9C">
        <w:rPr>
          <w:b/>
        </w:rPr>
        <w:t>Keywords:</w:t>
      </w:r>
      <w:r w:rsidR="003C5E27" w:rsidRPr="00F87C9C">
        <w:t xml:space="preserve"> </w:t>
      </w:r>
      <w:r w:rsidR="00B025FF" w:rsidRPr="00F87C9C">
        <w:t>grinding wheel active surface (GWAS), conic chamfer, internal cylindrical grinding, traverse grinding</w:t>
      </w:r>
    </w:p>
    <w:p w:rsidR="003F1E87" w:rsidRPr="00F87C9C" w:rsidRDefault="003F1E87" w:rsidP="000E66B6">
      <w:pPr>
        <w:pStyle w:val="JMEEParagraphtext"/>
        <w:rPr>
          <w:lang w:eastAsia="pl-PL"/>
        </w:rPr>
      </w:pPr>
    </w:p>
    <w:p w:rsidR="003F1E87" w:rsidRPr="00F87C9C" w:rsidRDefault="003F1E87" w:rsidP="000E66B6">
      <w:pPr>
        <w:pStyle w:val="JMEEParagraphtext"/>
        <w:sectPr w:rsidR="003F1E87" w:rsidRPr="00F87C9C" w:rsidSect="009B714F">
          <w:headerReference w:type="even" r:id="rId10"/>
          <w:headerReference w:type="default" r:id="rId11"/>
          <w:footerReference w:type="default" r:id="rId12"/>
          <w:pgSz w:w="10773" w:h="15422" w:code="9"/>
          <w:pgMar w:top="1134" w:right="1134" w:bottom="1134" w:left="1134" w:header="567" w:footer="567" w:gutter="284"/>
          <w:cols w:space="708"/>
          <w:titlePg/>
          <w:docGrid w:linePitch="360"/>
        </w:sectPr>
      </w:pPr>
    </w:p>
    <w:p w:rsidR="0007105A" w:rsidRPr="00F87C9C" w:rsidRDefault="0007105A" w:rsidP="003F1E87">
      <w:pPr>
        <w:pStyle w:val="JMEEHeading1"/>
        <w:rPr>
          <w:lang w:eastAsia="pl-PL"/>
        </w:rPr>
      </w:pPr>
      <w:r w:rsidRPr="00F87C9C">
        <w:rPr>
          <w:lang w:eastAsia="pl-PL"/>
        </w:rPr>
        <w:lastRenderedPageBreak/>
        <w:t>Introduction</w:t>
      </w:r>
    </w:p>
    <w:p w:rsidR="0016147F" w:rsidRPr="00F87C9C" w:rsidRDefault="0016147F" w:rsidP="000E66B6">
      <w:pPr>
        <w:pStyle w:val="JMEEParagraphtext"/>
      </w:pPr>
      <w:r w:rsidRPr="00F87C9C">
        <w:t>In modern production processes there is an incessant drive towards increasing the precision of dimensions, shape and quality of the machined workpiece surface and towards limiting the costs through an increase in the machining efficiency and shortening its time. The possibilities of increasing the efficiency of the operation through an increase in the values of machining parameters are, however, limited. This refers mainly to the process of internal cylindrical grinding, where increasing the machining parameter values is limited by the dynamic rigidity of the grinders and the grinding wheels’ resistance.</w:t>
      </w:r>
    </w:p>
    <w:p w:rsidR="0016147F" w:rsidRPr="00F87C9C" w:rsidRDefault="0016147F" w:rsidP="000E66B6">
      <w:pPr>
        <w:pStyle w:val="JMEEParagraphtext"/>
      </w:pPr>
      <w:r w:rsidRPr="00F87C9C">
        <w:t xml:space="preserve">Therefore, various modifications are sought, that would make it possible to overcome the above limitations. From among many innovative solutions, high hopes are placed in traverse grinding processes in </w:t>
      </w:r>
      <w:r w:rsidRPr="00F87C9C">
        <w:lastRenderedPageBreak/>
        <w:t>which the total machining allowance is removed in a single pass of the grinding wheel [1-9]. What seems exceptionally beneficial in this context is grinding with grinding wheels with conic chamfer shaped in their attacking part. It makes it possible to separate the function of rough and finish grinding into two zones. Thanks to the proper shaping of the conic chamfer in relation to the thickness of the machining allowance, a wide zone of rough grinding is obtained with a large number of active grains, which guarantees considerable increase of the grinding efficiency in relation to the reciprocal grinding process.</w:t>
      </w:r>
    </w:p>
    <w:p w:rsidR="0016147F" w:rsidRPr="00F87C9C" w:rsidRDefault="0016147F" w:rsidP="000E66B6">
      <w:pPr>
        <w:pStyle w:val="JMEEParagraphtext"/>
      </w:pPr>
      <w:r w:rsidRPr="00F87C9C">
        <w:t>So far expensive superhard grinding wheels from cubic boron nitride (CBN) were used in such processes, which required specialist grinders with significant rigidity and great grinding speed (</w:t>
      </w:r>
      <w:r w:rsidRPr="00F87C9C">
        <w:rPr>
          <w:i/>
        </w:rPr>
        <w:t>v</w:t>
      </w:r>
      <w:r w:rsidRPr="00F87C9C">
        <w:rPr>
          <w:i/>
          <w:vertAlign w:val="subscript"/>
        </w:rPr>
        <w:t>s</w:t>
      </w:r>
      <w:r w:rsidRPr="00F87C9C">
        <w:t xml:space="preserve"> &gt; 60 m/s) [6]. As the general costs of such a process are relatively high, it is expected that new </w:t>
      </w:r>
      <w:r w:rsidRPr="00F87C9C">
        <w:lastRenderedPageBreak/>
        <w:t>grinding wheel constructions are developed from far cheaper grains that may be successfully used in conventional internal cylindrical  grinders.</w:t>
      </w:r>
    </w:p>
    <w:p w:rsidR="0016147F" w:rsidRPr="00F87C9C" w:rsidRDefault="0016147F" w:rsidP="000E66B6">
      <w:pPr>
        <w:pStyle w:val="JMEEParagraphtext"/>
      </w:pPr>
      <w:r w:rsidRPr="00F87C9C">
        <w:t>For this purpose a theoretical and experimental basis of internal cylindrical traverse grinding using zone-diversified structure grinding wheels, made from conventional abrasives on basis of Al</w:t>
      </w:r>
      <w:r w:rsidRPr="00F87C9C">
        <w:rPr>
          <w:vertAlign w:val="subscript"/>
        </w:rPr>
        <w:t>2</w:t>
      </w:r>
      <w:r w:rsidRPr="00F87C9C">
        <w:t>O</w:t>
      </w:r>
      <w:r w:rsidRPr="00F87C9C">
        <w:rPr>
          <w:vertAlign w:val="subscript"/>
        </w:rPr>
        <w:t>3</w:t>
      </w:r>
      <w:r w:rsidRPr="00F87C9C">
        <w:t xml:space="preserve"> were developed. Such grinding wheels are divided into two functional zones (rough and finish grinding zones), with characteristic and different construction [10-12].</w:t>
      </w:r>
    </w:p>
    <w:p w:rsidR="0007105A" w:rsidRPr="00F87C9C" w:rsidRDefault="0016147F" w:rsidP="003F1E87">
      <w:pPr>
        <w:pStyle w:val="JMEEHeading1"/>
        <w:rPr>
          <w:lang w:eastAsia="pl-PL"/>
        </w:rPr>
      </w:pPr>
      <w:r w:rsidRPr="00F87C9C">
        <w:rPr>
          <w:lang w:val="en-GB" w:eastAsia="pl-PL"/>
        </w:rPr>
        <w:t>Device for precision shaping macro-geometry of the grinding wheel</w:t>
      </w:r>
    </w:p>
    <w:p w:rsidR="0016147F" w:rsidRPr="00F87C9C" w:rsidRDefault="0016147F" w:rsidP="000E66B6">
      <w:pPr>
        <w:pStyle w:val="JMEEParagraphtext"/>
        <w:rPr>
          <w:lang w:eastAsia="pl-PL"/>
        </w:rPr>
      </w:pPr>
      <w:r w:rsidRPr="00F87C9C">
        <w:rPr>
          <w:lang w:eastAsia="pl-PL"/>
        </w:rPr>
        <w:t>Effective realization of the process of internal cylindrical traverse grinding with zone-diversified structure grinding wheels is possible if precise shaping of the used grinding wheel active surface macro-geometry is provided. Both the construction of conventional grinders and CNC allows for changing the angular location of the grinding wheel spindle, thanks to which it is possible to make conic chamfer on the grinding wheel active surface. Such changes in the shaping machine settings are, however, labor-intensive and therefore unprofitable if they need to be performed with each dressing procedure. On top of that they don’t provide sufficient precision of angular positioning.</w:t>
      </w:r>
    </w:p>
    <w:p w:rsidR="0016147F" w:rsidRPr="00F87C9C" w:rsidRDefault="0016147F" w:rsidP="000E66B6">
      <w:pPr>
        <w:pStyle w:val="JMEEParagraphtext"/>
        <w:rPr>
          <w:lang w:eastAsia="pl-PL"/>
        </w:rPr>
      </w:pPr>
      <w:r w:rsidRPr="00F87C9C">
        <w:rPr>
          <w:lang w:eastAsia="pl-PL"/>
        </w:rPr>
        <w:t>In order to make it possible to quickly shape the conic chamfer with given geometrical parameters on the GWAS, it was necessary to construct special device. The most important element of that device (Fig. 1) is a sliding table on ball slideways, to which a disk mounting of single-grain diamond dresser and a micrometer screw were mounted. Thanks to the latter, given values of the conic chamfer may be applied with high precision (±3%) [13, 14].</w:t>
      </w:r>
    </w:p>
    <w:p w:rsidR="0016147F" w:rsidRPr="00F87C9C" w:rsidRDefault="00863A1A" w:rsidP="000E66B6">
      <w:pPr>
        <w:pStyle w:val="JMEEFigure"/>
      </w:pPr>
      <w:r w:rsidRPr="00F87C9C">
        <w:rPr>
          <w:lang w:val="pl-PL"/>
        </w:rPr>
        <w:drawing>
          <wp:inline distT="0" distB="0" distL="0" distR="0">
            <wp:extent cx="2520000" cy="1619073"/>
            <wp:effectExtent l="19050" t="0" r="0" b="0"/>
            <wp:docPr id="1" name="Obraz 0" descr="fi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jpg"/>
                    <pic:cNvPicPr/>
                  </pic:nvPicPr>
                  <pic:blipFill>
                    <a:blip r:embed="rId13" cstate="print"/>
                    <a:stretch>
                      <a:fillRect/>
                    </a:stretch>
                  </pic:blipFill>
                  <pic:spPr>
                    <a:xfrm>
                      <a:off x="0" y="0"/>
                      <a:ext cx="2520000" cy="1619073"/>
                    </a:xfrm>
                    <a:prstGeom prst="rect">
                      <a:avLst/>
                    </a:prstGeom>
                  </pic:spPr>
                </pic:pic>
              </a:graphicData>
            </a:graphic>
          </wp:inline>
        </w:drawing>
      </w:r>
    </w:p>
    <w:p w:rsidR="0016147F" w:rsidRPr="00F87C9C" w:rsidRDefault="0016147F" w:rsidP="000E66B6">
      <w:pPr>
        <w:pStyle w:val="JMEEFigurecaption"/>
      </w:pPr>
      <w:r w:rsidRPr="00F87C9C">
        <w:t>Device for shaping macrogeometry of the grinding wheel active surface</w:t>
      </w:r>
    </w:p>
    <w:p w:rsidR="0057389C" w:rsidRPr="00F87C9C" w:rsidRDefault="0057389C" w:rsidP="000E66B6">
      <w:pPr>
        <w:pStyle w:val="JMEEParagraphtext"/>
        <w:rPr>
          <w:lang w:eastAsia="pl-PL"/>
        </w:rPr>
      </w:pPr>
      <w:r w:rsidRPr="00F87C9C">
        <w:rPr>
          <w:lang w:eastAsia="pl-PL"/>
        </w:rPr>
        <w:t xml:space="preserve">The device was equipped with a table drive system that consisted of a feeder, drive engine and a toothed bar. The reciprocal and traverse movement was steered using a contactor and limit switches placed in </w:t>
      </w:r>
      <w:r w:rsidRPr="00F87C9C">
        <w:rPr>
          <w:lang w:eastAsia="pl-PL"/>
        </w:rPr>
        <w:lastRenderedPageBreak/>
        <w:t>the extreme positions of the table feed. The complete system was mounted on the top part of the basis in order to maintain unchanged dressing kinematics with different values of the conic chamfer.</w:t>
      </w:r>
    </w:p>
    <w:p w:rsidR="0016147F" w:rsidRPr="00F87C9C" w:rsidRDefault="0057389C" w:rsidP="0057389C">
      <w:pPr>
        <w:pStyle w:val="JMEEHeading1"/>
      </w:pPr>
      <w:r w:rsidRPr="00F87C9C">
        <w:t>Experimental investigations</w:t>
      </w:r>
    </w:p>
    <w:p w:rsidR="0057389C" w:rsidRPr="00F87C9C" w:rsidRDefault="0057389C" w:rsidP="000E66B6">
      <w:pPr>
        <w:pStyle w:val="JMEEParagraphtext"/>
      </w:pPr>
      <w:r w:rsidRPr="00F87C9C">
        <w:t>Using the developed device, tests were carried out whose aim was to determine the most advantageous parameters of the conic chamfer shaped in the dressing cut on the active surface of grinding wheels with zone-diversified structure.</w:t>
      </w:r>
    </w:p>
    <w:p w:rsidR="0057389C" w:rsidRPr="00F87C9C" w:rsidRDefault="0057389C" w:rsidP="000E66B6">
      <w:pPr>
        <w:pStyle w:val="JMEEHeading2"/>
      </w:pPr>
      <w:r w:rsidRPr="00F87C9C">
        <w:t>Methodology of experimental investigations</w:t>
      </w:r>
    </w:p>
    <w:p w:rsidR="0057389C" w:rsidRPr="00F87C9C" w:rsidRDefault="0057389C" w:rsidP="000E66B6">
      <w:pPr>
        <w:pStyle w:val="JMEEParagraphtext"/>
      </w:pPr>
      <w:r w:rsidRPr="00F87C9C">
        <w:t xml:space="preserve">During the realized tests value of the conic chamfer </w:t>
      </w:r>
      <w:r w:rsidRPr="00F87C9C">
        <w:rPr>
          <w:i/>
        </w:rPr>
        <w:sym w:font="Symbol" w:char="F063"/>
      </w:r>
      <w:r w:rsidRPr="00F87C9C">
        <w:t xml:space="preserve"> was adjusted to the size of the working contact </w:t>
      </w:r>
      <w:r w:rsidRPr="00F87C9C">
        <w:rPr>
          <w:i/>
        </w:rPr>
        <w:t>a</w:t>
      </w:r>
      <w:r w:rsidRPr="00F87C9C">
        <w:rPr>
          <w:i/>
          <w:vertAlign w:val="subscript"/>
        </w:rPr>
        <w:t>e</w:t>
      </w:r>
      <w:r w:rsidRPr="00F87C9C">
        <w:t xml:space="preserve"> in such a way so as to make the conic part of the abrasive tool covered the whole machining allowance for the machining. The second parameter to which angle </w:t>
      </w:r>
      <w:r w:rsidRPr="00F87C9C">
        <w:rPr>
          <w:i/>
        </w:rPr>
        <w:sym w:font="Symbol" w:char="F063"/>
      </w:r>
      <w:r w:rsidRPr="00F87C9C">
        <w:t xml:space="preserve"> belonged was the chamfer </w:t>
      </w:r>
      <w:r w:rsidR="00816E21" w:rsidRPr="00F87C9C">
        <w:t>width</w:t>
      </w:r>
      <w:r w:rsidRPr="00F87C9C">
        <w:t xml:space="preserve"> </w:t>
      </w:r>
      <w:r w:rsidRPr="00F87C9C">
        <w:rPr>
          <w:i/>
        </w:rPr>
        <w:t>b</w:t>
      </w:r>
      <w:r w:rsidRPr="00F87C9C">
        <w:t xml:space="preserve">. With the same working contact, a change of the chamfer width caused considerable angle differences (Fig. 2), whose values during the tests were </w:t>
      </w:r>
      <w:r w:rsidRPr="00F87C9C">
        <w:rPr>
          <w:i/>
        </w:rPr>
        <w:sym w:font="Symbol" w:char="F063"/>
      </w:r>
      <w:r w:rsidRPr="00F87C9C">
        <w:rPr>
          <w:i/>
        </w:rPr>
        <w:t> = </w:t>
      </w:r>
      <w:r w:rsidRPr="00F87C9C">
        <w:t>0.38</w:t>
      </w:r>
      <w:r w:rsidRPr="00F87C9C">
        <w:noBreakHyphen/>
        <w:t>1.15</w:t>
      </w:r>
      <w:r w:rsidRPr="00F87C9C">
        <w:sym w:font="Symbol" w:char="F0B0"/>
      </w:r>
      <w:r w:rsidRPr="00F87C9C">
        <w:t>.</w:t>
      </w:r>
    </w:p>
    <w:p w:rsidR="0057389C" w:rsidRPr="00F87C9C" w:rsidRDefault="00863A1A" w:rsidP="000E66B6">
      <w:pPr>
        <w:pStyle w:val="JMEEFigure"/>
      </w:pPr>
      <w:r w:rsidRPr="00F87C9C">
        <w:rPr>
          <w:lang w:val="pl-PL"/>
        </w:rPr>
        <w:drawing>
          <wp:inline distT="0" distB="0" distL="0" distR="0">
            <wp:extent cx="1892276" cy="1512000"/>
            <wp:effectExtent l="19050" t="0" r="0" b="0"/>
            <wp:docPr id="2" name="Obraz 1" descr="fi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2.jpg"/>
                    <pic:cNvPicPr/>
                  </pic:nvPicPr>
                  <pic:blipFill>
                    <a:blip r:embed="rId14" cstate="print"/>
                    <a:stretch>
                      <a:fillRect/>
                    </a:stretch>
                  </pic:blipFill>
                  <pic:spPr>
                    <a:xfrm>
                      <a:off x="0" y="0"/>
                      <a:ext cx="1892276" cy="1512000"/>
                    </a:xfrm>
                    <a:prstGeom prst="rect">
                      <a:avLst/>
                    </a:prstGeom>
                  </pic:spPr>
                </pic:pic>
              </a:graphicData>
            </a:graphic>
          </wp:inline>
        </w:drawing>
      </w:r>
    </w:p>
    <w:p w:rsidR="0057389C" w:rsidRPr="00F87C9C" w:rsidRDefault="0057389C" w:rsidP="000E66B6">
      <w:pPr>
        <w:pStyle w:val="JMEEFigurecaption"/>
      </w:pPr>
      <w:r w:rsidRPr="00F87C9C">
        <w:t xml:space="preserve">The width </w:t>
      </w:r>
      <w:r w:rsidRPr="00F87C9C">
        <w:rPr>
          <w:i/>
        </w:rPr>
        <w:t>b</w:t>
      </w:r>
      <w:r w:rsidRPr="00F87C9C">
        <w:t xml:space="preserve"> and the angle </w:t>
      </w:r>
      <w:r w:rsidRPr="00F87C9C">
        <w:rPr>
          <w:i/>
        </w:rPr>
        <w:t>χ</w:t>
      </w:r>
      <w:r w:rsidRPr="00F87C9C">
        <w:t xml:space="preserve"> of the grinding wheel conic chamfer shaped in experimental investigations</w:t>
      </w:r>
    </w:p>
    <w:p w:rsidR="0057389C" w:rsidRPr="00F87C9C" w:rsidRDefault="0057389C" w:rsidP="000E66B6">
      <w:pPr>
        <w:pStyle w:val="JMEEParagraphtext"/>
        <w:rPr>
          <w:lang w:eastAsia="pl-PL"/>
        </w:rPr>
      </w:pPr>
      <w:r w:rsidRPr="00F87C9C">
        <w:rPr>
          <w:lang w:eastAsia="pl-PL"/>
        </w:rPr>
        <w:t xml:space="preserve">Internal cylindrical surfaces of bearing rings mad from steel 100Cr6 with internal diameter </w:t>
      </w:r>
      <w:r w:rsidRPr="00F87C9C">
        <w:rPr>
          <w:i/>
          <w:lang w:eastAsia="pl-PL"/>
        </w:rPr>
        <w:t>d</w:t>
      </w:r>
      <w:r w:rsidRPr="00F87C9C">
        <w:rPr>
          <w:i/>
          <w:vertAlign w:val="subscript"/>
          <w:lang w:eastAsia="pl-PL"/>
        </w:rPr>
        <w:t>w</w:t>
      </w:r>
      <w:r w:rsidR="009331D1" w:rsidRPr="00F87C9C">
        <w:rPr>
          <w:i/>
          <w:vertAlign w:val="subscript"/>
          <w:lang w:eastAsia="pl-PL"/>
        </w:rPr>
        <w:t> </w:t>
      </w:r>
      <w:r w:rsidRPr="00F87C9C">
        <w:rPr>
          <w:i/>
          <w:lang w:eastAsia="pl-PL"/>
        </w:rPr>
        <w:t>=</w:t>
      </w:r>
      <w:r w:rsidR="009331D1" w:rsidRPr="00F87C9C">
        <w:rPr>
          <w:i/>
          <w:lang w:eastAsia="pl-PL"/>
        </w:rPr>
        <w:t> </w:t>
      </w:r>
      <w:r w:rsidRPr="00F87C9C">
        <w:rPr>
          <w:lang w:eastAsia="pl-PL"/>
        </w:rPr>
        <w:t>40 mm were grinded.</w:t>
      </w:r>
    </w:p>
    <w:p w:rsidR="0057389C" w:rsidRPr="00F87C9C" w:rsidRDefault="0057389C" w:rsidP="000E66B6">
      <w:pPr>
        <w:pStyle w:val="JMEEParagraphtext"/>
        <w:rPr>
          <w:lang w:eastAsia="pl-PL"/>
        </w:rPr>
      </w:pPr>
      <w:r w:rsidRPr="00F87C9C">
        <w:rPr>
          <w:lang w:eastAsia="pl-PL"/>
        </w:rPr>
        <w:t>Table 1 presents the most important parameters of the realized experimental tests.</w:t>
      </w:r>
    </w:p>
    <w:p w:rsidR="0057389C" w:rsidRPr="00F87C9C" w:rsidRDefault="0057389C" w:rsidP="000E66B6">
      <w:pPr>
        <w:pStyle w:val="JMEEParagraphtext"/>
        <w:rPr>
          <w:lang w:eastAsia="pl-PL"/>
        </w:rPr>
      </w:pPr>
      <w:r w:rsidRPr="00F87C9C">
        <w:rPr>
          <w:lang w:eastAsia="pl-PL"/>
        </w:rPr>
        <w:t xml:space="preserve">During the tests, the initial and maximum grinding power </w:t>
      </w:r>
      <w:r w:rsidRPr="00F87C9C">
        <w:rPr>
          <w:i/>
          <w:lang w:eastAsia="pl-PL"/>
        </w:rPr>
        <w:t>P</w:t>
      </w:r>
      <w:r w:rsidRPr="00F87C9C">
        <w:rPr>
          <w:lang w:eastAsia="pl-PL"/>
        </w:rPr>
        <w:t xml:space="preserve"> was registered, while after their termination, general axial machined surface roughness profile was registered on basis of which the following parameters were determined:</w:t>
      </w:r>
    </w:p>
    <w:p w:rsidR="0057389C" w:rsidRPr="00F87C9C" w:rsidRDefault="0057389C" w:rsidP="000E66B6">
      <w:pPr>
        <w:pStyle w:val="JMEEBulletpoints"/>
      </w:pPr>
      <w:r w:rsidRPr="00F87C9C">
        <w:rPr>
          <w:i/>
        </w:rPr>
        <w:t>Ra</w:t>
      </w:r>
      <w:r w:rsidRPr="00F87C9C">
        <w:t xml:space="preserve"> – arithmetic mean deviation of the assessed profile;</w:t>
      </w:r>
    </w:p>
    <w:p w:rsidR="0057389C" w:rsidRPr="00F87C9C" w:rsidRDefault="0057389C" w:rsidP="000E66B6">
      <w:pPr>
        <w:pStyle w:val="JMEEBulletpoints"/>
      </w:pPr>
      <w:r w:rsidRPr="00F87C9C">
        <w:rPr>
          <w:i/>
        </w:rPr>
        <w:t>Rz</w:t>
      </w:r>
      <w:r w:rsidRPr="00F87C9C">
        <w:t xml:space="preserve"> – maximum height of the profile within a sampling length;</w:t>
      </w:r>
    </w:p>
    <w:p w:rsidR="0057389C" w:rsidRPr="00F87C9C" w:rsidRDefault="0057389C" w:rsidP="000E66B6">
      <w:pPr>
        <w:pStyle w:val="JMEEBulletpoints"/>
      </w:pPr>
      <w:r w:rsidRPr="00F87C9C">
        <w:rPr>
          <w:i/>
        </w:rPr>
        <w:t>RSm</w:t>
      </w:r>
      <w:r w:rsidRPr="00F87C9C">
        <w:t xml:space="preserve"> – mean width of profile elements, within a sampling length;</w:t>
      </w:r>
    </w:p>
    <w:p w:rsidR="0057389C" w:rsidRPr="00F87C9C" w:rsidRDefault="0057389C" w:rsidP="000E66B6">
      <w:pPr>
        <w:pStyle w:val="JMEEBulletpoints"/>
      </w:pPr>
      <w:r w:rsidRPr="00F87C9C">
        <w:rPr>
          <w:i/>
        </w:rPr>
        <w:t>Rdq</w:t>
      </w:r>
      <w:r w:rsidRPr="00F87C9C">
        <w:t xml:space="preserve"> – root-mean-square (RMS) slope of the profile within a sampling length;</w:t>
      </w:r>
    </w:p>
    <w:p w:rsidR="0057389C" w:rsidRPr="00F87C9C" w:rsidRDefault="0057389C" w:rsidP="000E66B6">
      <w:pPr>
        <w:pStyle w:val="JMEEBulletpoints"/>
      </w:pPr>
      <w:r w:rsidRPr="00F87C9C">
        <w:rPr>
          <w:i/>
        </w:rPr>
        <w:t>RTp</w:t>
      </w:r>
      <w:r w:rsidRPr="00F87C9C">
        <w:t xml:space="preserve"> – material ratio of the complete profile.</w:t>
      </w:r>
    </w:p>
    <w:p w:rsidR="0057389C" w:rsidRPr="00F87C9C" w:rsidRDefault="0057389C" w:rsidP="000E66B6">
      <w:pPr>
        <w:pStyle w:val="JMEETabletitle"/>
      </w:pPr>
      <w:r w:rsidRPr="00F87C9C">
        <w:lastRenderedPageBreak/>
        <w:t>General characteristics of grinding conditions</w:t>
      </w:r>
    </w:p>
    <w:tbl>
      <w:tblPr>
        <w:tblW w:w="396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66"/>
        <w:gridCol w:w="2803"/>
      </w:tblGrid>
      <w:tr w:rsidR="0057389C" w:rsidRPr="00736BB7" w:rsidTr="0057389C">
        <w:trPr>
          <w:trHeight w:val="249"/>
          <w:jc w:val="center"/>
        </w:trPr>
        <w:tc>
          <w:tcPr>
            <w:tcW w:w="1582"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rPr>
            </w:pPr>
            <w:r w:rsidRPr="00F87C9C">
              <w:rPr>
                <w:sz w:val="16"/>
                <w:szCs w:val="16"/>
              </w:rPr>
              <w:t>Process</w:t>
            </w:r>
          </w:p>
        </w:tc>
        <w:tc>
          <w:tcPr>
            <w:tcW w:w="5506"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Peripheral internal cylindrical traverse grinding</w:t>
            </w:r>
          </w:p>
        </w:tc>
      </w:tr>
      <w:tr w:rsidR="0057389C" w:rsidRPr="00736BB7" w:rsidTr="0057389C">
        <w:trPr>
          <w:trHeight w:val="795"/>
          <w:jc w:val="center"/>
        </w:trPr>
        <w:tc>
          <w:tcPr>
            <w:tcW w:w="1582"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Grinding machine</w:t>
            </w:r>
          </w:p>
        </w:tc>
        <w:tc>
          <w:tcPr>
            <w:tcW w:w="5506"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Universal grinding machine RUP 28P equipped with spindle type EV-70/70-2WB produced by Fisher AG, Switzerland (max. rpm 60 000 min</w:t>
            </w:r>
            <w:r w:rsidRPr="00F87C9C">
              <w:rPr>
                <w:sz w:val="16"/>
                <w:szCs w:val="16"/>
                <w:vertAlign w:val="superscript"/>
                <w:lang w:val="en-US"/>
              </w:rPr>
              <w:t>-1</w:t>
            </w:r>
            <w:r w:rsidRPr="00F87C9C">
              <w:rPr>
                <w:sz w:val="16"/>
                <w:szCs w:val="16"/>
                <w:lang w:val="en-US"/>
              </w:rPr>
              <w:t>, power of machine cutting 5.2 kW)</w:t>
            </w:r>
          </w:p>
        </w:tc>
      </w:tr>
      <w:tr w:rsidR="0057389C" w:rsidRPr="00736BB7" w:rsidTr="0057389C">
        <w:trPr>
          <w:trHeight w:val="751"/>
          <w:jc w:val="center"/>
        </w:trPr>
        <w:tc>
          <w:tcPr>
            <w:tcW w:w="1582"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Dressing parameters</w:t>
            </w:r>
          </w:p>
        </w:tc>
        <w:tc>
          <w:tcPr>
            <w:tcW w:w="5506"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Dresser: single grain diamond dresser</w:t>
            </w:r>
          </w:p>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i/>
                <w:sz w:val="16"/>
                <w:szCs w:val="16"/>
                <w:lang w:val="en-US"/>
              </w:rPr>
              <w:t>Q</w:t>
            </w:r>
            <w:r w:rsidRPr="00F87C9C">
              <w:rPr>
                <w:i/>
                <w:sz w:val="16"/>
                <w:szCs w:val="16"/>
                <w:vertAlign w:val="subscript"/>
                <w:lang w:val="en-US"/>
              </w:rPr>
              <w:t>d</w:t>
            </w:r>
            <w:r w:rsidRPr="00F87C9C">
              <w:rPr>
                <w:sz w:val="16"/>
                <w:szCs w:val="16"/>
                <w:lang w:val="en-US"/>
              </w:rPr>
              <w:t xml:space="preserve"> = 1.25 kt, </w:t>
            </w:r>
            <w:r w:rsidRPr="00F87C9C">
              <w:rPr>
                <w:i/>
                <w:sz w:val="16"/>
                <w:szCs w:val="16"/>
                <w:lang w:val="en-US"/>
              </w:rPr>
              <w:t>n</w:t>
            </w:r>
            <w:r w:rsidRPr="00F87C9C">
              <w:rPr>
                <w:i/>
                <w:sz w:val="16"/>
                <w:szCs w:val="16"/>
                <w:vertAlign w:val="subscript"/>
                <w:lang w:val="en-US"/>
              </w:rPr>
              <w:t>sd</w:t>
            </w:r>
            <w:r w:rsidRPr="00F87C9C">
              <w:rPr>
                <w:sz w:val="16"/>
                <w:szCs w:val="16"/>
                <w:lang w:val="en-US"/>
              </w:rPr>
              <w:t xml:space="preserve"> = 12 000 rpm,</w:t>
            </w:r>
          </w:p>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i/>
                <w:sz w:val="16"/>
                <w:szCs w:val="16"/>
                <w:lang w:val="en-US"/>
              </w:rPr>
              <w:t>v</w:t>
            </w:r>
            <w:r w:rsidRPr="00F87C9C">
              <w:rPr>
                <w:i/>
                <w:sz w:val="16"/>
                <w:szCs w:val="16"/>
                <w:vertAlign w:val="subscript"/>
                <w:lang w:val="en-US"/>
              </w:rPr>
              <w:t>fd</w:t>
            </w:r>
            <w:r w:rsidRPr="00F87C9C">
              <w:rPr>
                <w:sz w:val="16"/>
                <w:szCs w:val="16"/>
                <w:lang w:val="en-US"/>
              </w:rPr>
              <w:t xml:space="preserve"> = 10 m/s, </w:t>
            </w:r>
            <w:r w:rsidRPr="00F87C9C">
              <w:rPr>
                <w:i/>
                <w:sz w:val="16"/>
                <w:szCs w:val="16"/>
                <w:lang w:val="en-US"/>
              </w:rPr>
              <w:t>a</w:t>
            </w:r>
            <w:r w:rsidRPr="00F87C9C">
              <w:rPr>
                <w:i/>
                <w:sz w:val="16"/>
                <w:szCs w:val="16"/>
                <w:vertAlign w:val="subscript"/>
                <w:lang w:val="en-US"/>
              </w:rPr>
              <w:t>ed</w:t>
            </w:r>
            <w:r w:rsidRPr="00F87C9C">
              <w:rPr>
                <w:sz w:val="16"/>
                <w:szCs w:val="16"/>
                <w:lang w:val="en-US"/>
              </w:rPr>
              <w:t xml:space="preserve"> = 0.0125 mm</w:t>
            </w:r>
          </w:p>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i/>
                <w:sz w:val="16"/>
                <w:szCs w:val="16"/>
                <w:lang w:val="en-US"/>
              </w:rPr>
              <w:t>i</w:t>
            </w:r>
            <w:r w:rsidRPr="00F87C9C">
              <w:rPr>
                <w:i/>
                <w:sz w:val="16"/>
                <w:szCs w:val="16"/>
                <w:vertAlign w:val="subscript"/>
                <w:lang w:val="en-US"/>
              </w:rPr>
              <w:t>d </w:t>
            </w:r>
            <w:r w:rsidRPr="00F87C9C">
              <w:rPr>
                <w:i/>
                <w:sz w:val="16"/>
                <w:szCs w:val="16"/>
                <w:lang w:val="en-US"/>
              </w:rPr>
              <w:t>=</w:t>
            </w:r>
            <w:r w:rsidRPr="00F87C9C">
              <w:rPr>
                <w:sz w:val="16"/>
                <w:szCs w:val="16"/>
                <w:lang w:val="en-US"/>
              </w:rPr>
              <w:t xml:space="preserve">10, </w:t>
            </w:r>
            <w:r w:rsidRPr="00F87C9C">
              <w:rPr>
                <w:i/>
                <w:sz w:val="16"/>
                <w:szCs w:val="16"/>
              </w:rPr>
              <w:sym w:font="Symbol" w:char="F063"/>
            </w:r>
            <w:r w:rsidRPr="00F87C9C">
              <w:rPr>
                <w:sz w:val="16"/>
                <w:szCs w:val="16"/>
                <w:lang w:val="en-US"/>
              </w:rPr>
              <w:t> = 0.38</w:t>
            </w:r>
            <w:r w:rsidRPr="00F87C9C">
              <w:rPr>
                <w:sz w:val="16"/>
                <w:szCs w:val="16"/>
                <w:lang w:val="en-US"/>
              </w:rPr>
              <w:noBreakHyphen/>
              <w:t xml:space="preserve">1.15°, </w:t>
            </w:r>
            <w:r w:rsidRPr="00F87C9C">
              <w:rPr>
                <w:i/>
                <w:sz w:val="16"/>
                <w:szCs w:val="16"/>
                <w:lang w:val="en-US"/>
              </w:rPr>
              <w:t>b</w:t>
            </w:r>
            <w:r w:rsidRPr="00F87C9C">
              <w:rPr>
                <w:sz w:val="16"/>
                <w:szCs w:val="16"/>
                <w:lang w:val="en-US"/>
              </w:rPr>
              <w:t> = 15</w:t>
            </w:r>
            <w:r w:rsidRPr="00F87C9C">
              <w:rPr>
                <w:sz w:val="16"/>
                <w:szCs w:val="16"/>
                <w:lang w:val="en-US"/>
              </w:rPr>
              <w:noBreakHyphen/>
              <w:t>5 mm</w:t>
            </w:r>
          </w:p>
        </w:tc>
      </w:tr>
      <w:tr w:rsidR="0057389C" w:rsidRPr="00F87C9C" w:rsidTr="0057389C">
        <w:trPr>
          <w:trHeight w:val="407"/>
          <w:jc w:val="center"/>
        </w:trPr>
        <w:tc>
          <w:tcPr>
            <w:tcW w:w="1582"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Grinding parameters</w:t>
            </w:r>
          </w:p>
        </w:tc>
        <w:tc>
          <w:tcPr>
            <w:tcW w:w="5506"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i/>
                <w:sz w:val="16"/>
                <w:szCs w:val="16"/>
                <w:lang w:val="en-US"/>
              </w:rPr>
              <w:t>v</w:t>
            </w:r>
            <w:r w:rsidRPr="00F87C9C">
              <w:rPr>
                <w:i/>
                <w:sz w:val="16"/>
                <w:szCs w:val="16"/>
                <w:vertAlign w:val="subscript"/>
                <w:lang w:val="en-US"/>
              </w:rPr>
              <w:t>s</w:t>
            </w:r>
            <w:r w:rsidRPr="00F87C9C">
              <w:rPr>
                <w:sz w:val="16"/>
                <w:szCs w:val="16"/>
                <w:lang w:val="en-US"/>
              </w:rPr>
              <w:t xml:space="preserve"> = 60 m/s, </w:t>
            </w:r>
            <w:r w:rsidRPr="00F87C9C">
              <w:rPr>
                <w:i/>
                <w:sz w:val="16"/>
                <w:szCs w:val="16"/>
                <w:lang w:val="en-US"/>
              </w:rPr>
              <w:t>v</w:t>
            </w:r>
            <w:r w:rsidRPr="00F87C9C">
              <w:rPr>
                <w:i/>
                <w:sz w:val="16"/>
                <w:szCs w:val="16"/>
                <w:vertAlign w:val="subscript"/>
                <w:lang w:val="en-US"/>
              </w:rPr>
              <w:t>w</w:t>
            </w:r>
            <w:r w:rsidRPr="00F87C9C">
              <w:rPr>
                <w:sz w:val="16"/>
                <w:szCs w:val="16"/>
                <w:lang w:val="en-US"/>
              </w:rPr>
              <w:t xml:space="preserve"> = 0.6 m/s, </w:t>
            </w:r>
            <w:r w:rsidRPr="00F87C9C">
              <w:rPr>
                <w:i/>
                <w:sz w:val="16"/>
                <w:szCs w:val="16"/>
                <w:lang w:val="en-US"/>
              </w:rPr>
              <w:t>v</w:t>
            </w:r>
            <w:r w:rsidRPr="00F87C9C">
              <w:rPr>
                <w:i/>
                <w:sz w:val="16"/>
                <w:szCs w:val="16"/>
                <w:vertAlign w:val="subscript"/>
                <w:lang w:val="en-US"/>
              </w:rPr>
              <w:t>fa</w:t>
            </w:r>
            <w:r w:rsidRPr="00F87C9C">
              <w:rPr>
                <w:sz w:val="16"/>
                <w:szCs w:val="16"/>
                <w:lang w:val="en-US"/>
              </w:rPr>
              <w:t xml:space="preserve"> = 1.0 mm/s, </w:t>
            </w:r>
            <w:r w:rsidRPr="00F87C9C">
              <w:rPr>
                <w:i/>
                <w:sz w:val="16"/>
                <w:szCs w:val="16"/>
                <w:lang w:val="en-US"/>
              </w:rPr>
              <w:t>a</w:t>
            </w:r>
            <w:r w:rsidRPr="00F87C9C">
              <w:rPr>
                <w:i/>
                <w:sz w:val="16"/>
                <w:szCs w:val="16"/>
                <w:vertAlign w:val="subscript"/>
                <w:lang w:val="en-US"/>
              </w:rPr>
              <w:t>e</w:t>
            </w:r>
            <w:r w:rsidRPr="00F87C9C">
              <w:rPr>
                <w:sz w:val="16"/>
                <w:szCs w:val="16"/>
                <w:lang w:val="en-US"/>
              </w:rPr>
              <w:t xml:space="preserve"> = 0.10 mm, </w:t>
            </w:r>
            <w:r w:rsidRPr="00F87C9C">
              <w:rPr>
                <w:i/>
                <w:sz w:val="16"/>
                <w:szCs w:val="16"/>
                <w:lang w:val="en-US"/>
              </w:rPr>
              <w:t>Q</w:t>
            </w:r>
            <w:r w:rsidRPr="00F87C9C">
              <w:rPr>
                <w:i/>
                <w:sz w:val="16"/>
                <w:szCs w:val="16"/>
                <w:vertAlign w:val="subscript"/>
                <w:lang w:val="en-US"/>
              </w:rPr>
              <w:t>C</w:t>
            </w:r>
            <w:r w:rsidRPr="00F87C9C">
              <w:rPr>
                <w:sz w:val="16"/>
                <w:szCs w:val="16"/>
                <w:lang w:val="en-US"/>
              </w:rPr>
              <w:t xml:space="preserve"> = 5.0 l/min</w:t>
            </w:r>
          </w:p>
        </w:tc>
      </w:tr>
      <w:tr w:rsidR="0057389C" w:rsidRPr="00736BB7" w:rsidTr="0057389C">
        <w:trPr>
          <w:trHeight w:val="415"/>
          <w:jc w:val="center"/>
        </w:trPr>
        <w:tc>
          <w:tcPr>
            <w:tcW w:w="1582"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Coolant</w:t>
            </w:r>
          </w:p>
        </w:tc>
        <w:tc>
          <w:tcPr>
            <w:tcW w:w="5506" w:type="dxa"/>
            <w:vAlign w:val="center"/>
          </w:tcPr>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5% water solution of Castrol</w:t>
            </w:r>
          </w:p>
          <w:p w:rsidR="0057389C" w:rsidRPr="00F87C9C" w:rsidRDefault="0057389C" w:rsidP="002503F2">
            <w:pPr>
              <w:pStyle w:val="Htabela"/>
              <w:overflowPunct w:val="0"/>
              <w:autoSpaceDE w:val="0"/>
              <w:autoSpaceDN w:val="0"/>
              <w:adjustRightInd w:val="0"/>
              <w:spacing w:before="0" w:after="0"/>
              <w:jc w:val="left"/>
              <w:textAlignment w:val="baseline"/>
              <w:rPr>
                <w:sz w:val="16"/>
                <w:szCs w:val="16"/>
                <w:lang w:val="en-US"/>
              </w:rPr>
            </w:pPr>
            <w:r w:rsidRPr="00F87C9C">
              <w:rPr>
                <w:sz w:val="16"/>
                <w:szCs w:val="16"/>
                <w:lang w:val="en-US"/>
              </w:rPr>
              <w:t>Syntilo RHS oil</w:t>
            </w:r>
          </w:p>
        </w:tc>
      </w:tr>
      <w:tr w:rsidR="0057389C" w:rsidRPr="00736BB7" w:rsidTr="0057389C">
        <w:trPr>
          <w:trHeight w:val="549"/>
          <w:jc w:val="center"/>
        </w:trPr>
        <w:tc>
          <w:tcPr>
            <w:tcW w:w="1582" w:type="dxa"/>
            <w:vAlign w:val="center"/>
          </w:tcPr>
          <w:p w:rsidR="0057389C" w:rsidRPr="00F87C9C" w:rsidRDefault="0057389C" w:rsidP="002503F2">
            <w:pPr>
              <w:pStyle w:val="Htabela"/>
              <w:keepNext w:val="0"/>
              <w:overflowPunct w:val="0"/>
              <w:autoSpaceDE w:val="0"/>
              <w:autoSpaceDN w:val="0"/>
              <w:adjustRightInd w:val="0"/>
              <w:spacing w:before="0" w:after="0"/>
              <w:jc w:val="left"/>
              <w:textAlignment w:val="baseline"/>
              <w:rPr>
                <w:sz w:val="16"/>
                <w:szCs w:val="16"/>
                <w:lang w:val="en-US"/>
              </w:rPr>
            </w:pPr>
            <w:r w:rsidRPr="00F87C9C">
              <w:rPr>
                <w:sz w:val="16"/>
                <w:szCs w:val="16"/>
                <w:lang w:val="en-US"/>
              </w:rPr>
              <w:t>Workpiece</w:t>
            </w:r>
          </w:p>
        </w:tc>
        <w:tc>
          <w:tcPr>
            <w:tcW w:w="5506" w:type="dxa"/>
            <w:vAlign w:val="center"/>
          </w:tcPr>
          <w:p w:rsidR="0057389C" w:rsidRPr="00F87C9C" w:rsidRDefault="0057389C" w:rsidP="002503F2">
            <w:pPr>
              <w:pStyle w:val="Htabela"/>
              <w:keepNext w:val="0"/>
              <w:overflowPunct w:val="0"/>
              <w:autoSpaceDE w:val="0"/>
              <w:autoSpaceDN w:val="0"/>
              <w:adjustRightInd w:val="0"/>
              <w:spacing w:before="0" w:after="0"/>
              <w:jc w:val="left"/>
              <w:textAlignment w:val="baseline"/>
              <w:rPr>
                <w:sz w:val="16"/>
                <w:szCs w:val="16"/>
                <w:lang w:val="en-US"/>
              </w:rPr>
            </w:pPr>
            <w:r w:rsidRPr="00F87C9C">
              <w:rPr>
                <w:sz w:val="16"/>
                <w:szCs w:val="16"/>
                <w:lang w:val="en-US"/>
              </w:rPr>
              <w:t xml:space="preserve">Internal cylindrical surface of rings, made of 100Cr6 steel, internal diameter: </w:t>
            </w:r>
            <w:r w:rsidRPr="00F87C9C">
              <w:rPr>
                <w:i/>
                <w:sz w:val="16"/>
                <w:szCs w:val="16"/>
                <w:lang w:val="en-US"/>
              </w:rPr>
              <w:t>d</w:t>
            </w:r>
            <w:r w:rsidRPr="00F87C9C">
              <w:rPr>
                <w:i/>
                <w:sz w:val="16"/>
                <w:szCs w:val="16"/>
                <w:vertAlign w:val="subscript"/>
                <w:lang w:val="en-US"/>
              </w:rPr>
              <w:t>w</w:t>
            </w:r>
            <w:r w:rsidRPr="00F87C9C">
              <w:rPr>
                <w:sz w:val="16"/>
                <w:szCs w:val="16"/>
                <w:lang w:val="en-US"/>
              </w:rPr>
              <w:t xml:space="preserve"> = 40 mm, width: </w:t>
            </w:r>
            <w:r w:rsidRPr="00F87C9C">
              <w:rPr>
                <w:i/>
                <w:sz w:val="16"/>
                <w:szCs w:val="16"/>
                <w:lang w:val="en-US"/>
              </w:rPr>
              <w:t>b</w:t>
            </w:r>
            <w:r w:rsidRPr="00F87C9C">
              <w:rPr>
                <w:i/>
                <w:sz w:val="16"/>
                <w:szCs w:val="16"/>
                <w:vertAlign w:val="subscript"/>
                <w:lang w:val="en-US"/>
              </w:rPr>
              <w:t>w</w:t>
            </w:r>
            <w:r w:rsidRPr="00F87C9C">
              <w:rPr>
                <w:sz w:val="16"/>
                <w:szCs w:val="16"/>
                <w:lang w:val="en-US"/>
              </w:rPr>
              <w:t xml:space="preserve"> = 18 mm</w:t>
            </w:r>
          </w:p>
        </w:tc>
      </w:tr>
    </w:tbl>
    <w:p w:rsidR="0057389C" w:rsidRPr="00F87C9C" w:rsidRDefault="0057389C" w:rsidP="000E66B6">
      <w:pPr>
        <w:pStyle w:val="JMEEParagraphtext"/>
        <w:rPr>
          <w:lang w:eastAsia="pl-PL"/>
        </w:rPr>
      </w:pPr>
    </w:p>
    <w:p w:rsidR="00966B2B" w:rsidRPr="00F87C9C" w:rsidRDefault="00966B2B" w:rsidP="000E66B6">
      <w:pPr>
        <w:pStyle w:val="JMEEParagraphtext"/>
        <w:rPr>
          <w:lang w:eastAsia="pl-PL"/>
        </w:rPr>
      </w:pPr>
      <w:r w:rsidRPr="00F87C9C">
        <w:rPr>
          <w:lang w:eastAsia="pl-PL"/>
        </w:rPr>
        <w:t xml:space="preserve">Analysis of the material ratio </w:t>
      </w:r>
      <w:r w:rsidRPr="00F87C9C">
        <w:rPr>
          <w:i/>
          <w:lang w:eastAsia="pl-PL"/>
        </w:rPr>
        <w:t>RTp</w:t>
      </w:r>
      <w:r w:rsidRPr="00F87C9C">
        <w:rPr>
          <w:lang w:eastAsia="pl-PL"/>
        </w:rPr>
        <w:t xml:space="preserve"> of the profile of the grinded surfaces was carried out using Symmetrical Curve of Geometrical Contact (SCGC) [15].</w:t>
      </w:r>
    </w:p>
    <w:p w:rsidR="00966B2B" w:rsidRPr="00F87C9C" w:rsidRDefault="00966B2B" w:rsidP="000E66B6">
      <w:pPr>
        <w:pStyle w:val="JMEEParagraphtext"/>
        <w:rPr>
          <w:lang w:eastAsia="pl-PL"/>
        </w:rPr>
      </w:pPr>
      <w:r w:rsidRPr="00F87C9C">
        <w:rPr>
          <w:lang w:eastAsia="pl-PL"/>
        </w:rPr>
        <w:t xml:space="preserve">The SCGC method may be considered alternative and informative in relation to the material ratio of the </w:t>
      </w:r>
      <w:r w:rsidRPr="00F87C9C">
        <w:rPr>
          <w:i/>
          <w:lang w:eastAsia="pl-PL"/>
        </w:rPr>
        <w:t>RTp</w:t>
      </w:r>
      <w:r w:rsidRPr="00F87C9C">
        <w:rPr>
          <w:lang w:eastAsia="pl-PL"/>
        </w:rPr>
        <w:t xml:space="preserve"> profile using the Abbott-Firestone Curve (AFC) and </w:t>
      </w:r>
      <w:r w:rsidRPr="00F87C9C">
        <w:rPr>
          <w:i/>
          <w:lang w:eastAsia="pl-PL"/>
        </w:rPr>
        <w:t>RTp</w:t>
      </w:r>
      <w:r w:rsidRPr="00F87C9C">
        <w:rPr>
          <w:i/>
          <w:vertAlign w:val="subscript"/>
          <w:lang w:eastAsia="pl-PL"/>
        </w:rPr>
        <w:t>20</w:t>
      </w:r>
      <w:r w:rsidRPr="00F87C9C">
        <w:rPr>
          <w:lang w:eastAsia="pl-PL"/>
        </w:rPr>
        <w:t xml:space="preserve">, </w:t>
      </w:r>
      <w:r w:rsidRPr="00F87C9C">
        <w:rPr>
          <w:i/>
          <w:lang w:eastAsia="pl-PL"/>
        </w:rPr>
        <w:t>RTp</w:t>
      </w:r>
      <w:r w:rsidRPr="00F87C9C">
        <w:rPr>
          <w:i/>
          <w:vertAlign w:val="subscript"/>
          <w:lang w:eastAsia="pl-PL"/>
        </w:rPr>
        <w:t>50</w:t>
      </w:r>
      <w:r w:rsidRPr="00F87C9C">
        <w:rPr>
          <w:lang w:eastAsia="pl-PL"/>
        </w:rPr>
        <w:t xml:space="preserve"> parameters. SCGC (Fig. 3) is the conversion of the curve in such a way that each of its abscissas illustrating the geometric contact is moved parallel so that the center of its length is found on the normal perpendicular to the measurement section midway through its length.</w:t>
      </w:r>
    </w:p>
    <w:p w:rsidR="00966B2B" w:rsidRPr="00F87C9C" w:rsidRDefault="00966B2B" w:rsidP="000E66B6">
      <w:pPr>
        <w:pStyle w:val="JMEEFigure"/>
      </w:pPr>
      <w:r w:rsidRPr="00F87C9C">
        <w:rPr>
          <w:lang w:val="pl-PL"/>
        </w:rPr>
        <w:drawing>
          <wp:inline distT="0" distB="0" distL="0" distR="0">
            <wp:extent cx="2519680" cy="146587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0196" r="25743" b="3448"/>
                    <a:stretch>
                      <a:fillRect/>
                    </a:stretch>
                  </pic:blipFill>
                  <pic:spPr bwMode="auto">
                    <a:xfrm>
                      <a:off x="0" y="0"/>
                      <a:ext cx="2519680" cy="1465870"/>
                    </a:xfrm>
                    <a:prstGeom prst="rect">
                      <a:avLst/>
                    </a:prstGeom>
                    <a:noFill/>
                    <a:ln w="9525">
                      <a:noFill/>
                      <a:miter lim="800000"/>
                      <a:headEnd/>
                      <a:tailEnd/>
                    </a:ln>
                  </pic:spPr>
                </pic:pic>
              </a:graphicData>
            </a:graphic>
          </wp:inline>
        </w:drawing>
      </w:r>
    </w:p>
    <w:p w:rsidR="00966B2B" w:rsidRPr="00F87C9C" w:rsidRDefault="00966B2B" w:rsidP="000E66B6">
      <w:pPr>
        <w:pStyle w:val="JMEEFigurecaption"/>
      </w:pPr>
      <w:r w:rsidRPr="00F87C9C">
        <w:t>Sample shape of the SCGC for a surface roughness profile obtained by the traverse grinding using zone-diversified structure grinding wheels</w:t>
      </w:r>
    </w:p>
    <w:p w:rsidR="00966B2B" w:rsidRPr="00F87C9C" w:rsidRDefault="00966B2B" w:rsidP="000E66B6">
      <w:pPr>
        <w:pStyle w:val="JMEEParagraphtext"/>
        <w:rPr>
          <w:lang w:eastAsia="pl-PL"/>
        </w:rPr>
      </w:pPr>
      <w:r w:rsidRPr="00F87C9C">
        <w:rPr>
          <w:lang w:eastAsia="pl-PL"/>
        </w:rPr>
        <w:t xml:space="preserve">What can be determined using SCGC are height parameters (including </w:t>
      </w:r>
      <w:r w:rsidRPr="00F87C9C">
        <w:rPr>
          <w:i/>
          <w:lang w:eastAsia="pl-PL"/>
        </w:rPr>
        <w:t>Ra</w:t>
      </w:r>
      <w:r w:rsidRPr="00F87C9C">
        <w:rPr>
          <w:lang w:eastAsia="pl-PL"/>
        </w:rPr>
        <w:t>), contact parameters (horizontal), which characterize the expected geometrical contact and the developed surface taking into consideration the surface roughness and the material volume, as well as the so-called hollows, i.e. free spaces in the roughness zone. Thanks to that, more data for forecasting the behavior of surfaces when it is used in different conditions are obtained.</w:t>
      </w:r>
    </w:p>
    <w:p w:rsidR="00966B2B" w:rsidRPr="00F87C9C" w:rsidRDefault="00966B2B" w:rsidP="000E66B6">
      <w:pPr>
        <w:pStyle w:val="JMEEParagraphtext"/>
        <w:rPr>
          <w:lang w:eastAsia="pl-PL"/>
        </w:rPr>
      </w:pPr>
      <w:r w:rsidRPr="00F87C9C">
        <w:rPr>
          <w:lang w:eastAsia="pl-PL"/>
        </w:rPr>
        <w:t xml:space="preserve">Figure 3 presents the following SCGC parameters: </w:t>
      </w:r>
    </w:p>
    <w:p w:rsidR="00966B2B" w:rsidRPr="00F87C9C" w:rsidRDefault="00966B2B" w:rsidP="000E66B6">
      <w:pPr>
        <w:pStyle w:val="JMEEParagraphtext"/>
        <w:rPr>
          <w:lang w:eastAsia="pl-PL"/>
        </w:rPr>
      </w:pPr>
      <w:r w:rsidRPr="00F87C9C">
        <w:rPr>
          <w:lang w:eastAsia="pl-PL"/>
        </w:rPr>
        <w:t xml:space="preserve">point </w:t>
      </w:r>
      <w:r w:rsidRPr="00F87C9C">
        <w:rPr>
          <w:i/>
          <w:lang w:eastAsia="pl-PL"/>
        </w:rPr>
        <w:t>P</w:t>
      </w:r>
      <w:r w:rsidRPr="00F87C9C">
        <w:rPr>
          <w:lang w:eastAsia="pl-PL"/>
        </w:rPr>
        <w:t xml:space="preserve"> (on line 1) – is the SCGC peak, i.e. the highest point of the roughness profile, which the line </w:t>
      </w:r>
      <w:r w:rsidRPr="00F87C9C">
        <w:rPr>
          <w:lang w:eastAsia="pl-PL"/>
        </w:rPr>
        <w:lastRenderedPageBreak/>
        <w:t>parallel to the mean line runs through, which is the top roughness limit;</w:t>
      </w:r>
    </w:p>
    <w:p w:rsidR="00966B2B" w:rsidRPr="00F87C9C" w:rsidRDefault="00966B2B" w:rsidP="000E66B6">
      <w:pPr>
        <w:pStyle w:val="JMEEBulletpoints"/>
        <w:rPr>
          <w:lang w:eastAsia="pl-PL"/>
        </w:rPr>
      </w:pPr>
      <w:r w:rsidRPr="00F87C9C">
        <w:rPr>
          <w:i/>
          <w:lang w:eastAsia="pl-PL"/>
        </w:rPr>
        <w:t>T/W</w:t>
      </w:r>
      <w:r w:rsidRPr="00F87C9C">
        <w:rPr>
          <w:lang w:eastAsia="pl-PL"/>
        </w:rPr>
        <w:t xml:space="preserve"> (line 2) – the contractual border of vertexes roughness zones </w:t>
      </w:r>
      <w:r w:rsidRPr="00F87C9C">
        <w:rPr>
          <w:i/>
          <w:lang w:eastAsia="pl-PL"/>
        </w:rPr>
        <w:t>T</w:t>
      </w:r>
      <w:r w:rsidRPr="00F87C9C">
        <w:rPr>
          <w:lang w:eastAsia="pl-PL"/>
        </w:rPr>
        <w:t xml:space="preserve"> (Top Zone) and working zone </w:t>
      </w:r>
      <w:r w:rsidRPr="00F87C9C">
        <w:rPr>
          <w:i/>
          <w:lang w:eastAsia="pl-PL"/>
        </w:rPr>
        <w:t>W</w:t>
      </w:r>
      <w:r w:rsidRPr="00F87C9C">
        <w:rPr>
          <w:lang w:eastAsia="pl-PL"/>
        </w:rPr>
        <w:t xml:space="preserve"> (Working Zone). The criterion used in estimating this border for the cooperating surfaces roughness is such an area of contact where there no mounting galling takes place (the border value of the contact length equaling 2% was adopted);</w:t>
      </w:r>
    </w:p>
    <w:p w:rsidR="00966B2B" w:rsidRPr="00F87C9C" w:rsidRDefault="00966B2B" w:rsidP="000E66B6">
      <w:pPr>
        <w:pStyle w:val="JMEEBulletpoints"/>
        <w:rPr>
          <w:lang w:eastAsia="pl-PL"/>
        </w:rPr>
      </w:pPr>
      <w:r w:rsidRPr="00F87C9C">
        <w:rPr>
          <w:i/>
          <w:lang w:eastAsia="pl-PL"/>
        </w:rPr>
        <w:t>ML+Ra</w:t>
      </w:r>
      <w:r w:rsidRPr="00F87C9C">
        <w:rPr>
          <w:lang w:eastAsia="pl-PL"/>
        </w:rPr>
        <w:t xml:space="preserve"> (line 3) – the line running on the height that is the sum of values of the profile mean line (</w:t>
      </w:r>
      <w:r w:rsidRPr="00F87C9C">
        <w:rPr>
          <w:i/>
          <w:lang w:eastAsia="pl-PL"/>
        </w:rPr>
        <w:t>ML</w:t>
      </w:r>
      <w:r w:rsidRPr="00F87C9C">
        <w:rPr>
          <w:lang w:eastAsia="pl-PL"/>
        </w:rPr>
        <w:t xml:space="preserve"> – Mean Line) and the average </w:t>
      </w:r>
      <w:r w:rsidRPr="00F87C9C">
        <w:rPr>
          <w:i/>
          <w:lang w:eastAsia="pl-PL"/>
        </w:rPr>
        <w:t>Ra</w:t>
      </w:r>
      <w:r w:rsidRPr="00F87C9C">
        <w:rPr>
          <w:lang w:eastAsia="pl-PL"/>
        </w:rPr>
        <w:t xml:space="preserve"> arithmetic roughness profile deviation;</w:t>
      </w:r>
    </w:p>
    <w:p w:rsidR="00966B2B" w:rsidRPr="00F87C9C" w:rsidRDefault="00966B2B" w:rsidP="000E66B6">
      <w:pPr>
        <w:pStyle w:val="JMEEBulletpoints"/>
        <w:rPr>
          <w:lang w:eastAsia="pl-PL"/>
        </w:rPr>
      </w:pPr>
      <w:r w:rsidRPr="00F87C9C">
        <w:rPr>
          <w:i/>
          <w:lang w:eastAsia="pl-PL"/>
        </w:rPr>
        <w:t>ML</w:t>
      </w:r>
      <w:r w:rsidRPr="00F87C9C">
        <w:rPr>
          <w:lang w:eastAsia="pl-PL"/>
        </w:rPr>
        <w:t xml:space="preserve"> (line 4) – the mean line of the roughness profile;</w:t>
      </w:r>
    </w:p>
    <w:p w:rsidR="00966B2B" w:rsidRPr="00F87C9C" w:rsidRDefault="00966B2B" w:rsidP="000E66B6">
      <w:pPr>
        <w:pStyle w:val="JMEEBulletpoints"/>
        <w:rPr>
          <w:lang w:eastAsia="pl-PL"/>
        </w:rPr>
      </w:pPr>
      <w:r w:rsidRPr="00F87C9C">
        <w:rPr>
          <w:i/>
          <w:lang w:eastAsia="pl-PL"/>
        </w:rPr>
        <w:t>ML-Ra</w:t>
      </w:r>
      <w:r w:rsidRPr="00F87C9C">
        <w:rPr>
          <w:lang w:eastAsia="pl-PL"/>
        </w:rPr>
        <w:t xml:space="preserve"> (line 5) – the line running on the height of </w:t>
      </w:r>
      <w:r w:rsidRPr="00F87C9C">
        <w:rPr>
          <w:i/>
          <w:lang w:eastAsia="pl-PL"/>
        </w:rPr>
        <w:t>ML-Ra</w:t>
      </w:r>
      <w:r w:rsidRPr="00F87C9C">
        <w:rPr>
          <w:lang w:eastAsia="pl-PL"/>
        </w:rPr>
        <w:t>;</w:t>
      </w:r>
    </w:p>
    <w:p w:rsidR="00966B2B" w:rsidRPr="00F87C9C" w:rsidRDefault="00966B2B" w:rsidP="000E66B6">
      <w:pPr>
        <w:pStyle w:val="JMEEBulletpoints"/>
        <w:rPr>
          <w:lang w:eastAsia="pl-PL"/>
        </w:rPr>
      </w:pPr>
      <w:r w:rsidRPr="00F87C9C">
        <w:rPr>
          <w:i/>
          <w:lang w:eastAsia="pl-PL"/>
        </w:rPr>
        <w:t>W/Q</w:t>
      </w:r>
      <w:r w:rsidRPr="00F87C9C">
        <w:rPr>
          <w:lang w:eastAsia="pl-PL"/>
        </w:rPr>
        <w:t xml:space="preserve"> (line 6) – contractual border of the roughness zones: working </w:t>
      </w:r>
      <w:r w:rsidRPr="00F87C9C">
        <w:rPr>
          <w:i/>
          <w:lang w:eastAsia="pl-PL"/>
        </w:rPr>
        <w:t>W</w:t>
      </w:r>
      <w:r w:rsidRPr="00F87C9C">
        <w:rPr>
          <w:lang w:eastAsia="pl-PL"/>
        </w:rPr>
        <w:t xml:space="preserve"> and quasi-nominal zone </w:t>
      </w:r>
      <w:r w:rsidRPr="00F87C9C">
        <w:rPr>
          <w:i/>
          <w:lang w:eastAsia="pl-PL"/>
        </w:rPr>
        <w:t>Q</w:t>
      </w:r>
      <w:r w:rsidRPr="00F87C9C">
        <w:rPr>
          <w:lang w:eastAsia="pl-PL"/>
        </w:rPr>
        <w:t>, which runs on the height of contact that equals 98% of the measurement section;</w:t>
      </w:r>
    </w:p>
    <w:p w:rsidR="00966B2B" w:rsidRPr="00F87C9C" w:rsidRDefault="00966B2B" w:rsidP="000E66B6">
      <w:pPr>
        <w:pStyle w:val="JMEEBulletpoints"/>
        <w:rPr>
          <w:lang w:eastAsia="pl-PL"/>
        </w:rPr>
      </w:pPr>
      <w:r w:rsidRPr="00F87C9C">
        <w:rPr>
          <w:i/>
          <w:lang w:eastAsia="pl-PL"/>
        </w:rPr>
        <w:t>D-D</w:t>
      </w:r>
      <w:r w:rsidRPr="00F87C9C">
        <w:rPr>
          <w:lang w:eastAsia="pl-PL"/>
        </w:rPr>
        <w:t xml:space="preserve"> (on line 7) – the depth of SCGC pits, i.e. the lowest point of the roughness profile, which the line parallel to the mean line runs through, which is the bottom border of the roughness profile.</w:t>
      </w:r>
    </w:p>
    <w:p w:rsidR="00966B2B" w:rsidRPr="00F87C9C" w:rsidRDefault="00966B2B" w:rsidP="000E66B6">
      <w:pPr>
        <w:pStyle w:val="JMEEParagraphtext"/>
        <w:rPr>
          <w:lang w:eastAsia="pl-PL"/>
        </w:rPr>
      </w:pPr>
      <w:r w:rsidRPr="00F87C9C">
        <w:rPr>
          <w:lang w:eastAsia="pl-PL"/>
        </w:rPr>
        <w:t xml:space="preserve">The area between lines 1 and 2 is the vertexes zone </w:t>
      </w:r>
      <w:r w:rsidRPr="00F87C9C">
        <w:rPr>
          <w:i/>
          <w:lang w:eastAsia="pl-PL"/>
        </w:rPr>
        <w:t>T</w:t>
      </w:r>
      <w:r w:rsidRPr="00F87C9C">
        <w:rPr>
          <w:lang w:eastAsia="pl-PL"/>
        </w:rPr>
        <w:t xml:space="preserve"> with height of </w:t>
      </w:r>
      <w:r w:rsidRPr="00F87C9C">
        <w:rPr>
          <w:i/>
          <w:lang w:eastAsia="pl-PL"/>
        </w:rPr>
        <w:t>t</w:t>
      </w:r>
      <w:r w:rsidRPr="00F87C9C">
        <w:rPr>
          <w:lang w:eastAsia="pl-PL"/>
        </w:rPr>
        <w:t xml:space="preserve">, the one between lines 2 and 6 is the working area </w:t>
      </w:r>
      <w:r w:rsidRPr="00F87C9C">
        <w:rPr>
          <w:i/>
          <w:lang w:eastAsia="pl-PL"/>
        </w:rPr>
        <w:t>W</w:t>
      </w:r>
      <w:r w:rsidRPr="00F87C9C">
        <w:rPr>
          <w:lang w:eastAsia="pl-PL"/>
        </w:rPr>
        <w:t xml:space="preserve"> with height of </w:t>
      </w:r>
      <w:r w:rsidRPr="00F87C9C">
        <w:rPr>
          <w:i/>
          <w:lang w:eastAsia="pl-PL"/>
        </w:rPr>
        <w:t>w</w:t>
      </w:r>
      <w:r w:rsidRPr="00F87C9C">
        <w:rPr>
          <w:lang w:eastAsia="pl-PL"/>
        </w:rPr>
        <w:t xml:space="preserve">, while the area between lines 6 and 7 determined the quasi-nominal zone </w:t>
      </w:r>
      <w:r w:rsidRPr="00F87C9C">
        <w:rPr>
          <w:i/>
          <w:lang w:eastAsia="pl-PL"/>
        </w:rPr>
        <w:t>Q</w:t>
      </w:r>
      <w:r w:rsidRPr="00F87C9C">
        <w:rPr>
          <w:lang w:eastAsia="pl-PL"/>
        </w:rPr>
        <w:t xml:space="preserve"> with height </w:t>
      </w:r>
      <w:r w:rsidRPr="00F87C9C">
        <w:rPr>
          <w:i/>
          <w:lang w:eastAsia="pl-PL"/>
        </w:rPr>
        <w:t>q</w:t>
      </w:r>
      <w:r w:rsidRPr="00F87C9C">
        <w:rPr>
          <w:lang w:eastAsia="pl-PL"/>
        </w:rPr>
        <w:t>.</w:t>
      </w:r>
    </w:p>
    <w:p w:rsidR="00966B2B" w:rsidRPr="00F87C9C" w:rsidRDefault="00966B2B" w:rsidP="000E66B6">
      <w:pPr>
        <w:pStyle w:val="JMEEParagraphtext"/>
        <w:rPr>
          <w:lang w:eastAsia="pl-PL"/>
        </w:rPr>
      </w:pPr>
      <w:r w:rsidRPr="00F87C9C">
        <w:rPr>
          <w:lang w:eastAsia="pl-PL"/>
        </w:rPr>
        <w:t>The SCGC curve is the border between the material (located under the curve) and the free spaces (above the curve). For this reason the print-out contains values of roughness zones surfaces (</w:t>
      </w:r>
      <w:r w:rsidRPr="00F87C9C">
        <w:rPr>
          <w:i/>
          <w:lang w:eastAsia="pl-PL"/>
        </w:rPr>
        <w:t>Area of</w:t>
      </w:r>
      <w:r w:rsidRPr="00F87C9C">
        <w:rPr>
          <w:lang w:eastAsia="pl-PL"/>
        </w:rPr>
        <w:t xml:space="preserve"> </w:t>
      </w:r>
      <w:r w:rsidRPr="00F87C9C">
        <w:rPr>
          <w:i/>
          <w:lang w:eastAsia="pl-PL"/>
        </w:rPr>
        <w:t>Top Zone</w:t>
      </w:r>
      <w:r w:rsidRPr="00F87C9C">
        <w:rPr>
          <w:lang w:eastAsia="pl-PL"/>
        </w:rPr>
        <w:t xml:space="preserve">, </w:t>
      </w:r>
      <w:r w:rsidRPr="00F87C9C">
        <w:rPr>
          <w:i/>
          <w:lang w:eastAsia="pl-PL"/>
        </w:rPr>
        <w:t>Area of Working Zone</w:t>
      </w:r>
      <w:r w:rsidRPr="00F87C9C">
        <w:rPr>
          <w:lang w:eastAsia="pl-PL"/>
        </w:rPr>
        <w:t>). The surface of the quasi-nominal zone is the difference between the complete surface and the sum of surfaces of the working and top zones.</w:t>
      </w:r>
    </w:p>
    <w:p w:rsidR="00966B2B" w:rsidRPr="00F87C9C" w:rsidRDefault="00966B2B" w:rsidP="000E66B6">
      <w:pPr>
        <w:pStyle w:val="JMEEHeading2"/>
        <w:rPr>
          <w:lang w:eastAsia="pl-PL"/>
        </w:rPr>
      </w:pPr>
      <w:r w:rsidRPr="00F87C9C">
        <w:t>Grinding wheels</w:t>
      </w:r>
    </w:p>
    <w:p w:rsidR="00966B2B" w:rsidRPr="00F87C9C" w:rsidRDefault="00966B2B" w:rsidP="000E66B6">
      <w:pPr>
        <w:pStyle w:val="JMEEParagraphtext"/>
        <w:rPr>
          <w:lang w:eastAsia="pl-PL"/>
        </w:rPr>
      </w:pPr>
      <w:r w:rsidRPr="00F87C9C">
        <w:rPr>
          <w:lang w:eastAsia="pl-PL"/>
        </w:rPr>
        <w:t>Five types of grinding wheels with zone-diversified structure made using ceramic bond with glass-crystalline structure were applied. These tools were made from grains of polycrystalline white fused alumina 99A and microcrystalline sintered corundum type SG</w:t>
      </w:r>
      <w:r w:rsidRPr="00F87C9C">
        <w:rPr>
          <w:vertAlign w:val="superscript"/>
          <w:lang w:eastAsia="pl-PL"/>
        </w:rPr>
        <w:t>®</w:t>
      </w:r>
      <w:r w:rsidRPr="00F87C9C">
        <w:rPr>
          <w:lang w:eastAsia="pl-PL"/>
        </w:rPr>
        <w:t>. Table 2 presents the characteristics of grinding wheels selected for the tests. Designation of the grinding wheels given in Table 2 is the abbreviated technical characteristic adopted to simplify the presentation and description of the investigation results.</w:t>
      </w:r>
    </w:p>
    <w:p w:rsidR="00966B2B" w:rsidRPr="00F87C9C" w:rsidRDefault="00966B2B" w:rsidP="000E66B6">
      <w:pPr>
        <w:pStyle w:val="JMEEParagraphtext"/>
        <w:rPr>
          <w:lang w:val="pl-PL" w:eastAsia="pl-PL"/>
        </w:rPr>
      </w:pPr>
      <w:r w:rsidRPr="00F87C9C">
        <w:rPr>
          <w:lang w:eastAsia="pl-PL"/>
        </w:rPr>
        <w:t xml:space="preserve">Both the hardness and the structure of particular grinding wheel zones remained unchanged for all types of grinding wheels used during the tests. Level K of hardness was applied to the rough grinding zone, and level I for the finish grinding zone. </w:t>
      </w:r>
      <w:r w:rsidRPr="00F87C9C">
        <w:rPr>
          <w:lang w:val="pl-PL" w:eastAsia="pl-PL"/>
        </w:rPr>
        <w:t>In both zones structure No. 7 was adopted.</w:t>
      </w:r>
    </w:p>
    <w:p w:rsidR="00966B2B" w:rsidRPr="00F87C9C" w:rsidRDefault="00966B2B" w:rsidP="000E66B6">
      <w:pPr>
        <w:pStyle w:val="JMEETabletitle"/>
      </w:pPr>
      <w:r w:rsidRPr="00F87C9C">
        <w:lastRenderedPageBreak/>
        <w:t>Grinding wheels with zone-diversified structure designed for experimental investigations of the traverse internal cylindrical grinding</w:t>
      </w:r>
    </w:p>
    <w:tbl>
      <w:tblPr>
        <w:tblW w:w="3969"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61"/>
        <w:gridCol w:w="1842"/>
        <w:gridCol w:w="1766"/>
      </w:tblGrid>
      <w:tr w:rsidR="00966B2B" w:rsidRPr="00F87C9C" w:rsidTr="004C1AC0">
        <w:trPr>
          <w:cantSplit/>
          <w:trHeight w:val="1485"/>
          <w:jc w:val="center"/>
        </w:trPr>
        <w:tc>
          <w:tcPr>
            <w:tcW w:w="476" w:type="dxa"/>
            <w:vMerge w:val="restart"/>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sz w:val="16"/>
                <w:szCs w:val="16"/>
                <w:lang w:val="en-GB"/>
              </w:rPr>
              <w:t>99A/SG</w:t>
            </w:r>
            <w:r w:rsidRPr="00F87C9C">
              <w:rPr>
                <w:sz w:val="16"/>
                <w:szCs w:val="16"/>
                <w:vertAlign w:val="superscript"/>
                <w:lang w:val="en-GB"/>
              </w:rPr>
              <w:t>*</w:t>
            </w:r>
          </w:p>
        </w:tc>
        <w:tc>
          <w:tcPr>
            <w:tcW w:w="3306" w:type="dxa"/>
            <w:tcBorders>
              <w:bottom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1108668" cy="828000"/>
                  <wp:effectExtent l="19050" t="0" r="0" b="0"/>
                  <wp:docPr id="16" name="Obraz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11"/>
                          <pic:cNvPicPr>
                            <a:picLocks noChangeAspect="1" noChangeArrowheads="1"/>
                          </pic:cNvPicPr>
                        </pic:nvPicPr>
                        <pic:blipFill>
                          <a:blip r:embed="rId16" cstate="print"/>
                          <a:srcRect/>
                          <a:stretch>
                            <a:fillRect/>
                          </a:stretch>
                        </pic:blipFill>
                        <pic:spPr bwMode="auto">
                          <a:xfrm>
                            <a:off x="0" y="0"/>
                            <a:ext cx="1108668" cy="828000"/>
                          </a:xfrm>
                          <a:prstGeom prst="rect">
                            <a:avLst/>
                          </a:prstGeom>
                          <a:noFill/>
                          <a:ln w="9525">
                            <a:noFill/>
                            <a:miter lim="800000"/>
                            <a:headEnd/>
                            <a:tailEnd/>
                          </a:ln>
                        </pic:spPr>
                      </pic:pic>
                    </a:graphicData>
                  </a:graphic>
                </wp:inline>
              </w:drawing>
            </w:r>
          </w:p>
        </w:tc>
        <w:tc>
          <w:tcPr>
            <w:tcW w:w="3306" w:type="dxa"/>
            <w:tcBorders>
              <w:bottom w:val="nil"/>
            </w:tcBorders>
            <w:shd w:val="clear" w:color="auto" w:fill="auto"/>
            <w:tcMar>
              <w:left w:w="28" w:type="dxa"/>
              <w:right w:w="28" w:type="dxa"/>
            </w:tcMa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809743" cy="828000"/>
                  <wp:effectExtent l="19050" t="0" r="9407" b="0"/>
                  <wp:docPr id="17" name="Obraz 2" descr="99A-SG 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99A-SG T=20"/>
                          <pic:cNvPicPr>
                            <a:picLocks noChangeAspect="1" noChangeArrowheads="1"/>
                          </pic:cNvPicPr>
                        </pic:nvPicPr>
                        <pic:blipFill>
                          <a:blip r:embed="rId17" cstate="print"/>
                          <a:srcRect/>
                          <a:stretch>
                            <a:fillRect/>
                          </a:stretch>
                        </pic:blipFill>
                        <pic:spPr bwMode="auto">
                          <a:xfrm>
                            <a:off x="0" y="0"/>
                            <a:ext cx="809743" cy="828000"/>
                          </a:xfrm>
                          <a:prstGeom prst="rect">
                            <a:avLst/>
                          </a:prstGeom>
                          <a:noFill/>
                          <a:ln w="9525">
                            <a:noFill/>
                            <a:miter lim="800000"/>
                            <a:headEnd/>
                            <a:tailEnd/>
                          </a:ln>
                        </pic:spPr>
                      </pic:pic>
                    </a:graphicData>
                  </a:graphic>
                </wp:inline>
              </w:drawing>
            </w:r>
          </w:p>
        </w:tc>
      </w:tr>
      <w:tr w:rsidR="00966B2B" w:rsidRPr="00F87C9C" w:rsidTr="00966B2B">
        <w:trPr>
          <w:cantSplit/>
          <w:trHeight w:val="50"/>
          <w:jc w:val="center"/>
        </w:trPr>
        <w:tc>
          <w:tcPr>
            <w:tcW w:w="476" w:type="dxa"/>
            <w:vMerge/>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p>
        </w:tc>
        <w:tc>
          <w:tcPr>
            <w:tcW w:w="6612" w:type="dxa"/>
            <w:gridSpan w:val="2"/>
            <w:tcBorders>
              <w:top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rPr>
            </w:pPr>
            <w:r w:rsidRPr="00F87C9C">
              <w:rPr>
                <w:sz w:val="16"/>
                <w:szCs w:val="16"/>
                <w:lang w:val="en-GB"/>
              </w:rPr>
              <w:t xml:space="preserve">1 </w:t>
            </w:r>
            <w:r w:rsidRPr="00F87C9C">
              <w:rPr>
                <w:sz w:val="16"/>
                <w:szCs w:val="16"/>
                <w:lang w:val="en-GB"/>
              </w:rPr>
              <w:noBreakHyphen/>
              <w:t xml:space="preserve"> 35x20x10 </w:t>
            </w:r>
            <w:r w:rsidRPr="00F87C9C">
              <w:rPr>
                <w:sz w:val="16"/>
                <w:szCs w:val="16"/>
                <w:lang w:val="en-GB"/>
              </w:rPr>
              <w:noBreakHyphen/>
              <w:t xml:space="preserve"> 99A/F46 K 7 V DG 70% /</w:t>
            </w:r>
            <w:r w:rsidRPr="00F87C9C">
              <w:rPr>
                <w:sz w:val="16"/>
                <w:szCs w:val="16"/>
                <w:lang w:val="en-GB"/>
              </w:rPr>
              <w:br/>
              <w:t>SG/F80 I 7 V DG 30%</w:t>
            </w:r>
          </w:p>
        </w:tc>
      </w:tr>
      <w:tr w:rsidR="00966B2B" w:rsidRPr="00F87C9C" w:rsidTr="004C1AC0">
        <w:trPr>
          <w:cantSplit/>
          <w:trHeight w:val="1511"/>
          <w:jc w:val="center"/>
        </w:trPr>
        <w:tc>
          <w:tcPr>
            <w:tcW w:w="476" w:type="dxa"/>
            <w:vMerge w:val="restart"/>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sz w:val="16"/>
                <w:szCs w:val="16"/>
                <w:lang w:val="en-GB"/>
              </w:rPr>
              <w:t>SG/99A</w:t>
            </w:r>
            <w:r w:rsidRPr="00F87C9C">
              <w:rPr>
                <w:sz w:val="16"/>
                <w:szCs w:val="16"/>
                <w:vertAlign w:val="superscript"/>
                <w:lang w:val="en-GB"/>
              </w:rPr>
              <w:t>*</w:t>
            </w:r>
          </w:p>
        </w:tc>
        <w:tc>
          <w:tcPr>
            <w:tcW w:w="3306" w:type="dxa"/>
            <w:tcBorders>
              <w:bottom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1108668" cy="828000"/>
                  <wp:effectExtent l="19050" t="0" r="0" b="0"/>
                  <wp:docPr id="18" name="Obraz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
                          <pic:cNvPicPr>
                            <a:picLocks noChangeAspect="1" noChangeArrowheads="1"/>
                          </pic:cNvPicPr>
                        </pic:nvPicPr>
                        <pic:blipFill>
                          <a:blip r:embed="rId18" cstate="print"/>
                          <a:srcRect/>
                          <a:stretch>
                            <a:fillRect/>
                          </a:stretch>
                        </pic:blipFill>
                        <pic:spPr bwMode="auto">
                          <a:xfrm>
                            <a:off x="0" y="0"/>
                            <a:ext cx="1108668" cy="828000"/>
                          </a:xfrm>
                          <a:prstGeom prst="rect">
                            <a:avLst/>
                          </a:prstGeom>
                          <a:noFill/>
                          <a:ln w="9525">
                            <a:noFill/>
                            <a:miter lim="800000"/>
                            <a:headEnd/>
                            <a:tailEnd/>
                          </a:ln>
                        </pic:spPr>
                      </pic:pic>
                    </a:graphicData>
                  </a:graphic>
                </wp:inline>
              </w:drawing>
            </w:r>
          </w:p>
        </w:tc>
        <w:tc>
          <w:tcPr>
            <w:tcW w:w="3306" w:type="dxa"/>
            <w:tcBorders>
              <w:bottom w:val="nil"/>
            </w:tcBorders>
            <w:shd w:val="clear" w:color="auto" w:fill="auto"/>
            <w:tcMar>
              <w:left w:w="28" w:type="dxa"/>
              <w:right w:w="28" w:type="dxa"/>
            </w:tcMa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845662" cy="864000"/>
                  <wp:effectExtent l="19050" t="0" r="0" b="0"/>
                  <wp:docPr id="19" name="Obraz 6" descr="SG-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SG-99A"/>
                          <pic:cNvPicPr>
                            <a:picLocks noChangeAspect="1" noChangeArrowheads="1"/>
                          </pic:cNvPicPr>
                        </pic:nvPicPr>
                        <pic:blipFill>
                          <a:blip r:embed="rId19" cstate="print"/>
                          <a:srcRect/>
                          <a:stretch>
                            <a:fillRect/>
                          </a:stretch>
                        </pic:blipFill>
                        <pic:spPr bwMode="auto">
                          <a:xfrm>
                            <a:off x="0" y="0"/>
                            <a:ext cx="845662" cy="864000"/>
                          </a:xfrm>
                          <a:prstGeom prst="rect">
                            <a:avLst/>
                          </a:prstGeom>
                          <a:noFill/>
                          <a:ln w="9525">
                            <a:noFill/>
                            <a:miter lim="800000"/>
                            <a:headEnd/>
                            <a:tailEnd/>
                          </a:ln>
                        </pic:spPr>
                      </pic:pic>
                    </a:graphicData>
                  </a:graphic>
                </wp:inline>
              </w:drawing>
            </w:r>
          </w:p>
        </w:tc>
      </w:tr>
      <w:tr w:rsidR="00966B2B" w:rsidRPr="00F87C9C" w:rsidTr="00966B2B">
        <w:trPr>
          <w:cantSplit/>
          <w:trHeight w:val="50"/>
          <w:jc w:val="center"/>
        </w:trPr>
        <w:tc>
          <w:tcPr>
            <w:tcW w:w="476" w:type="dxa"/>
            <w:vMerge/>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p>
        </w:tc>
        <w:tc>
          <w:tcPr>
            <w:tcW w:w="6612" w:type="dxa"/>
            <w:gridSpan w:val="2"/>
            <w:tcBorders>
              <w:top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sz w:val="16"/>
                <w:szCs w:val="16"/>
                <w:lang w:val="en-GB"/>
              </w:rPr>
              <w:t xml:space="preserve">1 </w:t>
            </w:r>
            <w:r w:rsidRPr="00F87C9C">
              <w:rPr>
                <w:sz w:val="16"/>
                <w:szCs w:val="16"/>
                <w:lang w:val="en-GB"/>
              </w:rPr>
              <w:noBreakHyphen/>
              <w:t xml:space="preserve"> 35x20x10 </w:t>
            </w:r>
            <w:r w:rsidRPr="00F87C9C">
              <w:rPr>
                <w:sz w:val="16"/>
                <w:szCs w:val="16"/>
                <w:lang w:val="en-GB"/>
              </w:rPr>
              <w:noBreakHyphen/>
              <w:t xml:space="preserve"> SG/F46 K 7 V DG 70% /</w:t>
            </w:r>
            <w:r w:rsidRPr="00F87C9C">
              <w:rPr>
                <w:sz w:val="16"/>
                <w:szCs w:val="16"/>
                <w:lang w:val="en-GB"/>
              </w:rPr>
              <w:br/>
              <w:t>99A/F80 I 7 V DG 30%</w:t>
            </w:r>
          </w:p>
        </w:tc>
      </w:tr>
      <w:tr w:rsidR="00966B2B" w:rsidRPr="00F87C9C" w:rsidTr="00966B2B">
        <w:trPr>
          <w:cantSplit/>
          <w:trHeight w:val="1580"/>
          <w:jc w:val="center"/>
        </w:trPr>
        <w:tc>
          <w:tcPr>
            <w:tcW w:w="476" w:type="dxa"/>
            <w:vMerge w:val="restart"/>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sz w:val="16"/>
                <w:szCs w:val="16"/>
                <w:lang w:val="en-GB"/>
              </w:rPr>
              <w:t>SG/SG</w:t>
            </w:r>
            <w:r w:rsidRPr="00F87C9C">
              <w:rPr>
                <w:sz w:val="16"/>
                <w:szCs w:val="16"/>
                <w:vertAlign w:val="superscript"/>
                <w:lang w:val="en-GB"/>
              </w:rPr>
              <w:t>*</w:t>
            </w:r>
          </w:p>
        </w:tc>
        <w:tc>
          <w:tcPr>
            <w:tcW w:w="3306" w:type="dxa"/>
            <w:tcBorders>
              <w:bottom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1108668" cy="828000"/>
                  <wp:effectExtent l="19050" t="0" r="0" b="0"/>
                  <wp:docPr id="20" name="Obraz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13"/>
                          <pic:cNvPicPr>
                            <a:picLocks noChangeAspect="1" noChangeArrowheads="1"/>
                          </pic:cNvPicPr>
                        </pic:nvPicPr>
                        <pic:blipFill>
                          <a:blip r:embed="rId20" cstate="print"/>
                          <a:srcRect/>
                          <a:stretch>
                            <a:fillRect/>
                          </a:stretch>
                        </pic:blipFill>
                        <pic:spPr bwMode="auto">
                          <a:xfrm>
                            <a:off x="0" y="0"/>
                            <a:ext cx="1108668" cy="828000"/>
                          </a:xfrm>
                          <a:prstGeom prst="rect">
                            <a:avLst/>
                          </a:prstGeom>
                          <a:noFill/>
                          <a:ln w="9525">
                            <a:noFill/>
                            <a:miter lim="800000"/>
                            <a:headEnd/>
                            <a:tailEnd/>
                          </a:ln>
                        </pic:spPr>
                      </pic:pic>
                    </a:graphicData>
                  </a:graphic>
                </wp:inline>
              </w:drawing>
            </w:r>
          </w:p>
        </w:tc>
        <w:tc>
          <w:tcPr>
            <w:tcW w:w="3306" w:type="dxa"/>
            <w:tcBorders>
              <w:bottom w:val="nil"/>
            </w:tcBorders>
            <w:shd w:val="clear" w:color="auto" w:fill="auto"/>
            <w:tcMar>
              <w:left w:w="28" w:type="dxa"/>
              <w:right w:w="28" w:type="dxa"/>
            </w:tcMa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839550" cy="864000"/>
                  <wp:effectExtent l="19050" t="0" r="0" b="0"/>
                  <wp:docPr id="21" name="Obraz 10" descr="SG-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G-SG"/>
                          <pic:cNvPicPr>
                            <a:picLocks noChangeAspect="1" noChangeArrowheads="1"/>
                          </pic:cNvPicPr>
                        </pic:nvPicPr>
                        <pic:blipFill>
                          <a:blip r:embed="rId21" cstate="print"/>
                          <a:srcRect/>
                          <a:stretch>
                            <a:fillRect/>
                          </a:stretch>
                        </pic:blipFill>
                        <pic:spPr bwMode="auto">
                          <a:xfrm>
                            <a:off x="0" y="0"/>
                            <a:ext cx="839550" cy="864000"/>
                          </a:xfrm>
                          <a:prstGeom prst="rect">
                            <a:avLst/>
                          </a:prstGeom>
                          <a:noFill/>
                          <a:ln w="9525">
                            <a:noFill/>
                            <a:miter lim="800000"/>
                            <a:headEnd/>
                            <a:tailEnd/>
                          </a:ln>
                        </pic:spPr>
                      </pic:pic>
                    </a:graphicData>
                  </a:graphic>
                </wp:inline>
              </w:drawing>
            </w:r>
          </w:p>
        </w:tc>
      </w:tr>
      <w:tr w:rsidR="00966B2B" w:rsidRPr="00F87C9C" w:rsidTr="00966B2B">
        <w:trPr>
          <w:cantSplit/>
          <w:trHeight w:val="50"/>
          <w:jc w:val="center"/>
        </w:trPr>
        <w:tc>
          <w:tcPr>
            <w:tcW w:w="476" w:type="dxa"/>
            <w:vMerge/>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p>
        </w:tc>
        <w:tc>
          <w:tcPr>
            <w:tcW w:w="6612" w:type="dxa"/>
            <w:gridSpan w:val="2"/>
            <w:tcBorders>
              <w:top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sz w:val="16"/>
                <w:szCs w:val="16"/>
                <w:lang w:val="en-GB"/>
              </w:rPr>
              <w:t xml:space="preserve">1 </w:t>
            </w:r>
            <w:r w:rsidRPr="00F87C9C">
              <w:rPr>
                <w:sz w:val="16"/>
                <w:szCs w:val="16"/>
                <w:lang w:val="en-GB"/>
              </w:rPr>
              <w:noBreakHyphen/>
              <w:t xml:space="preserve"> 35x20x10 </w:t>
            </w:r>
            <w:r w:rsidRPr="00F87C9C">
              <w:rPr>
                <w:sz w:val="16"/>
                <w:szCs w:val="16"/>
                <w:lang w:val="en-GB"/>
              </w:rPr>
              <w:noBreakHyphen/>
              <w:t xml:space="preserve"> SG/F46 K 7 V DG 70% /</w:t>
            </w:r>
            <w:r w:rsidRPr="00F87C9C">
              <w:rPr>
                <w:sz w:val="16"/>
                <w:szCs w:val="16"/>
                <w:lang w:val="en-GB"/>
              </w:rPr>
              <w:br/>
              <w:t>SG/F80 I 7 V DG 30%</w:t>
            </w:r>
          </w:p>
        </w:tc>
      </w:tr>
      <w:tr w:rsidR="00966B2B" w:rsidRPr="00F87C9C" w:rsidTr="004C1AC0">
        <w:trPr>
          <w:cantSplit/>
          <w:trHeight w:val="1553"/>
          <w:jc w:val="center"/>
        </w:trPr>
        <w:tc>
          <w:tcPr>
            <w:tcW w:w="476" w:type="dxa"/>
            <w:vMerge w:val="restart"/>
            <w:shd w:val="clear" w:color="auto" w:fill="auto"/>
            <w:textDirection w:val="btL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sz w:val="16"/>
                <w:szCs w:val="16"/>
                <w:lang w:val="en-GB"/>
              </w:rPr>
              <w:t>99A 100%</w:t>
            </w:r>
            <w:r w:rsidRPr="00F87C9C">
              <w:rPr>
                <w:sz w:val="16"/>
                <w:szCs w:val="16"/>
                <w:vertAlign w:val="superscript"/>
                <w:lang w:val="en-GB"/>
              </w:rPr>
              <w:t>*</w:t>
            </w:r>
          </w:p>
        </w:tc>
        <w:tc>
          <w:tcPr>
            <w:tcW w:w="3306" w:type="dxa"/>
            <w:tcBorders>
              <w:bottom w:val="nil"/>
            </w:tcBorders>
            <w:shd w:val="clear" w:color="auto" w:fill="auto"/>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1095882" cy="828000"/>
                  <wp:effectExtent l="19050" t="0" r="9018" b="0"/>
                  <wp:docPr id="22" name="Obraz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14"/>
                          <pic:cNvPicPr>
                            <a:picLocks noChangeAspect="1" noChangeArrowheads="1"/>
                          </pic:cNvPicPr>
                        </pic:nvPicPr>
                        <pic:blipFill>
                          <a:blip r:embed="rId22" cstate="print"/>
                          <a:srcRect/>
                          <a:stretch>
                            <a:fillRect/>
                          </a:stretch>
                        </pic:blipFill>
                        <pic:spPr bwMode="auto">
                          <a:xfrm>
                            <a:off x="0" y="0"/>
                            <a:ext cx="1095882" cy="828000"/>
                          </a:xfrm>
                          <a:prstGeom prst="rect">
                            <a:avLst/>
                          </a:prstGeom>
                          <a:noFill/>
                          <a:ln w="9525">
                            <a:noFill/>
                            <a:miter lim="800000"/>
                            <a:headEnd/>
                            <a:tailEnd/>
                          </a:ln>
                        </pic:spPr>
                      </pic:pic>
                    </a:graphicData>
                  </a:graphic>
                </wp:inline>
              </w:drawing>
            </w:r>
          </w:p>
        </w:tc>
        <w:tc>
          <w:tcPr>
            <w:tcW w:w="3306" w:type="dxa"/>
            <w:tcBorders>
              <w:bottom w:val="nil"/>
            </w:tcBorders>
            <w:shd w:val="clear" w:color="auto" w:fill="auto"/>
            <w:tcMar>
              <w:left w:w="28" w:type="dxa"/>
              <w:right w:w="28" w:type="dxa"/>
            </w:tcMar>
            <w:vAlign w:val="center"/>
          </w:tcPr>
          <w:p w:rsidR="00966B2B" w:rsidRPr="00F87C9C" w:rsidRDefault="00966B2B" w:rsidP="007D3503">
            <w:pPr>
              <w:pStyle w:val="Hnormalny"/>
              <w:keepNext/>
              <w:spacing w:after="0" w:line="240" w:lineRule="auto"/>
              <w:ind w:firstLine="0"/>
              <w:jc w:val="center"/>
              <w:rPr>
                <w:sz w:val="16"/>
                <w:szCs w:val="16"/>
                <w:lang w:val="en-GB"/>
              </w:rPr>
            </w:pPr>
            <w:r w:rsidRPr="00F87C9C">
              <w:rPr>
                <w:noProof/>
                <w:sz w:val="16"/>
                <w:szCs w:val="16"/>
                <w:lang w:eastAsia="pl-PL"/>
              </w:rPr>
              <w:drawing>
                <wp:inline distT="0" distB="0" distL="0" distR="0">
                  <wp:extent cx="793612" cy="828000"/>
                  <wp:effectExtent l="19050" t="0" r="6488" b="0"/>
                  <wp:docPr id="23" name="Obraz 4" descr="99A 46 100% 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99A 46 100% T=20"/>
                          <pic:cNvPicPr>
                            <a:picLocks noChangeAspect="1" noChangeArrowheads="1"/>
                          </pic:cNvPicPr>
                        </pic:nvPicPr>
                        <pic:blipFill>
                          <a:blip r:embed="rId23" cstate="print"/>
                          <a:srcRect/>
                          <a:stretch>
                            <a:fillRect/>
                          </a:stretch>
                        </pic:blipFill>
                        <pic:spPr bwMode="auto">
                          <a:xfrm>
                            <a:off x="0" y="0"/>
                            <a:ext cx="793612" cy="828000"/>
                          </a:xfrm>
                          <a:prstGeom prst="rect">
                            <a:avLst/>
                          </a:prstGeom>
                          <a:noFill/>
                          <a:ln w="9525">
                            <a:noFill/>
                            <a:miter lim="800000"/>
                            <a:headEnd/>
                            <a:tailEnd/>
                          </a:ln>
                        </pic:spPr>
                      </pic:pic>
                    </a:graphicData>
                  </a:graphic>
                </wp:inline>
              </w:drawing>
            </w:r>
          </w:p>
        </w:tc>
      </w:tr>
      <w:tr w:rsidR="00966B2B" w:rsidRPr="00F87C9C" w:rsidTr="00966B2B">
        <w:trPr>
          <w:cantSplit/>
          <w:trHeight w:val="50"/>
          <w:jc w:val="center"/>
        </w:trPr>
        <w:tc>
          <w:tcPr>
            <w:tcW w:w="476" w:type="dxa"/>
            <w:vMerge/>
            <w:shd w:val="clear" w:color="auto" w:fill="auto"/>
            <w:textDirection w:val="btLr"/>
            <w:vAlign w:val="center"/>
          </w:tcPr>
          <w:p w:rsidR="00966B2B" w:rsidRPr="00F87C9C" w:rsidRDefault="00966B2B" w:rsidP="007D3503">
            <w:pPr>
              <w:pStyle w:val="Hnormalny"/>
              <w:spacing w:after="0" w:line="240" w:lineRule="auto"/>
              <w:ind w:firstLine="0"/>
              <w:jc w:val="center"/>
              <w:rPr>
                <w:sz w:val="16"/>
                <w:szCs w:val="16"/>
                <w:lang w:val="en-GB"/>
              </w:rPr>
            </w:pPr>
          </w:p>
        </w:tc>
        <w:tc>
          <w:tcPr>
            <w:tcW w:w="6612" w:type="dxa"/>
            <w:gridSpan w:val="2"/>
            <w:tcBorders>
              <w:top w:val="nil"/>
            </w:tcBorders>
            <w:shd w:val="clear" w:color="auto" w:fill="auto"/>
            <w:vAlign w:val="center"/>
          </w:tcPr>
          <w:p w:rsidR="00966B2B" w:rsidRPr="00F87C9C" w:rsidRDefault="00966B2B" w:rsidP="007D3503">
            <w:pPr>
              <w:pStyle w:val="Hnormalny"/>
              <w:spacing w:after="0" w:line="240" w:lineRule="auto"/>
              <w:ind w:firstLine="0"/>
              <w:jc w:val="center"/>
              <w:rPr>
                <w:sz w:val="16"/>
                <w:szCs w:val="16"/>
                <w:lang w:val="en-GB"/>
              </w:rPr>
            </w:pPr>
            <w:r w:rsidRPr="00F87C9C">
              <w:rPr>
                <w:sz w:val="16"/>
                <w:szCs w:val="16"/>
                <w:lang w:val="en-GB"/>
              </w:rPr>
              <w:t xml:space="preserve">1 </w:t>
            </w:r>
            <w:r w:rsidRPr="00F87C9C">
              <w:rPr>
                <w:sz w:val="16"/>
                <w:szCs w:val="16"/>
                <w:lang w:val="en-GB"/>
              </w:rPr>
              <w:noBreakHyphen/>
              <w:t xml:space="preserve"> 35x20x10 - 99A/F46 K 7 V DG 100%</w:t>
            </w:r>
          </w:p>
        </w:tc>
      </w:tr>
      <w:tr w:rsidR="00966B2B" w:rsidRPr="00F87C9C" w:rsidTr="00966B2B">
        <w:trPr>
          <w:cantSplit/>
          <w:trHeight w:val="1623"/>
          <w:jc w:val="center"/>
        </w:trPr>
        <w:tc>
          <w:tcPr>
            <w:tcW w:w="476" w:type="dxa"/>
            <w:vMerge w:val="restart"/>
            <w:shd w:val="clear" w:color="auto" w:fill="auto"/>
            <w:textDirection w:val="btLr"/>
            <w:vAlign w:val="center"/>
          </w:tcPr>
          <w:p w:rsidR="00966B2B" w:rsidRPr="00F87C9C" w:rsidRDefault="00966B2B" w:rsidP="007D3503">
            <w:pPr>
              <w:pStyle w:val="Hnormalny"/>
              <w:spacing w:after="0" w:line="240" w:lineRule="auto"/>
              <w:ind w:firstLine="0"/>
              <w:jc w:val="center"/>
              <w:rPr>
                <w:sz w:val="16"/>
                <w:szCs w:val="16"/>
                <w:lang w:val="en-GB"/>
              </w:rPr>
            </w:pPr>
            <w:r w:rsidRPr="00F87C9C">
              <w:rPr>
                <w:sz w:val="16"/>
                <w:szCs w:val="16"/>
                <w:lang w:val="en-GB"/>
              </w:rPr>
              <w:t>SG 100%</w:t>
            </w:r>
            <w:r w:rsidRPr="00F87C9C">
              <w:rPr>
                <w:sz w:val="16"/>
                <w:szCs w:val="16"/>
                <w:vertAlign w:val="superscript"/>
                <w:lang w:val="en-GB"/>
              </w:rPr>
              <w:t>*</w:t>
            </w:r>
          </w:p>
        </w:tc>
        <w:tc>
          <w:tcPr>
            <w:tcW w:w="3306" w:type="dxa"/>
            <w:tcBorders>
              <w:bottom w:val="nil"/>
            </w:tcBorders>
            <w:shd w:val="clear" w:color="auto" w:fill="auto"/>
            <w:vAlign w:val="center"/>
          </w:tcPr>
          <w:p w:rsidR="00966B2B" w:rsidRPr="00F87C9C" w:rsidRDefault="00966B2B" w:rsidP="007D3503">
            <w:pPr>
              <w:pStyle w:val="Hnormalny"/>
              <w:spacing w:after="0" w:line="240" w:lineRule="auto"/>
              <w:ind w:firstLine="0"/>
              <w:jc w:val="center"/>
              <w:rPr>
                <w:sz w:val="16"/>
                <w:szCs w:val="16"/>
                <w:lang w:val="en-GB"/>
              </w:rPr>
            </w:pPr>
            <w:r w:rsidRPr="00F87C9C">
              <w:rPr>
                <w:noProof/>
                <w:sz w:val="16"/>
                <w:szCs w:val="16"/>
                <w:lang w:eastAsia="pl-PL"/>
              </w:rPr>
              <w:drawing>
                <wp:inline distT="0" distB="0" distL="0" distR="0">
                  <wp:extent cx="1108668" cy="828000"/>
                  <wp:effectExtent l="19050" t="0" r="0" b="0"/>
                  <wp:docPr id="24" name="Obraz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15"/>
                          <pic:cNvPicPr>
                            <a:picLocks noChangeAspect="1" noChangeArrowheads="1"/>
                          </pic:cNvPicPr>
                        </pic:nvPicPr>
                        <pic:blipFill>
                          <a:blip r:embed="rId24" cstate="print"/>
                          <a:srcRect/>
                          <a:stretch>
                            <a:fillRect/>
                          </a:stretch>
                        </pic:blipFill>
                        <pic:spPr bwMode="auto">
                          <a:xfrm>
                            <a:off x="0" y="0"/>
                            <a:ext cx="1108668" cy="828000"/>
                          </a:xfrm>
                          <a:prstGeom prst="rect">
                            <a:avLst/>
                          </a:prstGeom>
                          <a:noFill/>
                          <a:ln w="9525">
                            <a:noFill/>
                            <a:miter lim="800000"/>
                            <a:headEnd/>
                            <a:tailEnd/>
                          </a:ln>
                        </pic:spPr>
                      </pic:pic>
                    </a:graphicData>
                  </a:graphic>
                </wp:inline>
              </w:drawing>
            </w:r>
          </w:p>
        </w:tc>
        <w:tc>
          <w:tcPr>
            <w:tcW w:w="3306" w:type="dxa"/>
            <w:tcBorders>
              <w:bottom w:val="nil"/>
            </w:tcBorders>
            <w:shd w:val="clear" w:color="auto" w:fill="auto"/>
            <w:tcMar>
              <w:left w:w="28" w:type="dxa"/>
              <w:right w:w="28" w:type="dxa"/>
            </w:tcMar>
            <w:vAlign w:val="center"/>
          </w:tcPr>
          <w:p w:rsidR="00966B2B" w:rsidRPr="00F87C9C" w:rsidRDefault="00966B2B" w:rsidP="007D3503">
            <w:pPr>
              <w:pStyle w:val="Hnormalny"/>
              <w:spacing w:after="0" w:line="240" w:lineRule="auto"/>
              <w:ind w:firstLine="0"/>
              <w:jc w:val="center"/>
              <w:rPr>
                <w:sz w:val="16"/>
                <w:szCs w:val="16"/>
                <w:lang w:val="en-GB"/>
              </w:rPr>
            </w:pPr>
            <w:r w:rsidRPr="00F87C9C">
              <w:rPr>
                <w:noProof/>
                <w:sz w:val="16"/>
                <w:szCs w:val="16"/>
                <w:lang w:eastAsia="pl-PL"/>
              </w:rPr>
              <w:drawing>
                <wp:inline distT="0" distB="0" distL="0" distR="0">
                  <wp:extent cx="807252" cy="864000"/>
                  <wp:effectExtent l="19050" t="0" r="0" b="0"/>
                  <wp:docPr id="25" name="Obraz 8" descr="46 100% 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46 100% T=20"/>
                          <pic:cNvPicPr>
                            <a:picLocks noChangeAspect="1" noChangeArrowheads="1"/>
                          </pic:cNvPicPr>
                        </pic:nvPicPr>
                        <pic:blipFill>
                          <a:blip r:embed="rId25" cstate="print"/>
                          <a:srcRect l="2652" r="3798"/>
                          <a:stretch>
                            <a:fillRect/>
                          </a:stretch>
                        </pic:blipFill>
                        <pic:spPr bwMode="auto">
                          <a:xfrm>
                            <a:off x="0" y="0"/>
                            <a:ext cx="807252" cy="864000"/>
                          </a:xfrm>
                          <a:prstGeom prst="rect">
                            <a:avLst/>
                          </a:prstGeom>
                          <a:noFill/>
                          <a:ln w="9525">
                            <a:noFill/>
                            <a:miter lim="800000"/>
                            <a:headEnd/>
                            <a:tailEnd/>
                          </a:ln>
                        </pic:spPr>
                      </pic:pic>
                    </a:graphicData>
                  </a:graphic>
                </wp:inline>
              </w:drawing>
            </w:r>
          </w:p>
        </w:tc>
      </w:tr>
      <w:tr w:rsidR="00966B2B" w:rsidRPr="00F87C9C" w:rsidTr="00966B2B">
        <w:trPr>
          <w:cantSplit/>
          <w:trHeight w:val="50"/>
          <w:jc w:val="center"/>
        </w:trPr>
        <w:tc>
          <w:tcPr>
            <w:tcW w:w="476" w:type="dxa"/>
            <w:vMerge/>
            <w:shd w:val="clear" w:color="auto" w:fill="auto"/>
            <w:textDirection w:val="btLr"/>
            <w:vAlign w:val="center"/>
          </w:tcPr>
          <w:p w:rsidR="00966B2B" w:rsidRPr="00F87C9C" w:rsidRDefault="00966B2B" w:rsidP="007D3503">
            <w:pPr>
              <w:pStyle w:val="Hnormalny"/>
              <w:spacing w:after="0" w:line="240" w:lineRule="auto"/>
              <w:ind w:firstLine="0"/>
              <w:jc w:val="center"/>
              <w:rPr>
                <w:sz w:val="16"/>
                <w:szCs w:val="16"/>
                <w:lang w:val="en-GB"/>
              </w:rPr>
            </w:pPr>
          </w:p>
        </w:tc>
        <w:tc>
          <w:tcPr>
            <w:tcW w:w="6612" w:type="dxa"/>
            <w:gridSpan w:val="2"/>
            <w:tcBorders>
              <w:top w:val="nil"/>
            </w:tcBorders>
            <w:shd w:val="clear" w:color="auto" w:fill="auto"/>
            <w:vAlign w:val="center"/>
          </w:tcPr>
          <w:p w:rsidR="00966B2B" w:rsidRPr="00F87C9C" w:rsidRDefault="00966B2B" w:rsidP="007D3503">
            <w:pPr>
              <w:pStyle w:val="Hnormalny"/>
              <w:spacing w:after="0" w:line="240" w:lineRule="auto"/>
              <w:ind w:firstLine="0"/>
              <w:jc w:val="center"/>
              <w:rPr>
                <w:sz w:val="16"/>
                <w:szCs w:val="16"/>
              </w:rPr>
            </w:pPr>
            <w:r w:rsidRPr="00F87C9C">
              <w:rPr>
                <w:sz w:val="16"/>
                <w:szCs w:val="16"/>
                <w:lang w:val="en-GB"/>
              </w:rPr>
              <w:t xml:space="preserve">1 </w:t>
            </w:r>
            <w:r w:rsidRPr="00F87C9C">
              <w:rPr>
                <w:sz w:val="16"/>
                <w:szCs w:val="16"/>
                <w:lang w:val="en-GB"/>
              </w:rPr>
              <w:noBreakHyphen/>
              <w:t xml:space="preserve"> 35x20x10 </w:t>
            </w:r>
            <w:r w:rsidRPr="00F87C9C">
              <w:rPr>
                <w:sz w:val="16"/>
                <w:szCs w:val="16"/>
                <w:lang w:val="en-GB"/>
              </w:rPr>
              <w:noBreakHyphen/>
              <w:t xml:space="preserve"> SG/F46 K 7 V DG 100%</w:t>
            </w:r>
          </w:p>
        </w:tc>
      </w:tr>
    </w:tbl>
    <w:p w:rsidR="00966B2B" w:rsidRPr="00F87C9C" w:rsidRDefault="00966B2B" w:rsidP="000E66B6">
      <w:pPr>
        <w:pStyle w:val="JMEEParagraphtext"/>
      </w:pPr>
    </w:p>
    <w:p w:rsidR="0057389C" w:rsidRPr="00F87C9C" w:rsidRDefault="00966B2B" w:rsidP="000E66B6">
      <w:pPr>
        <w:pStyle w:val="JMEEHeading2"/>
        <w:rPr>
          <w:lang w:eastAsia="pl-PL"/>
        </w:rPr>
      </w:pPr>
      <w:r w:rsidRPr="00F87C9C">
        <w:t>Results and discussion</w:t>
      </w:r>
    </w:p>
    <w:p w:rsidR="00966B2B" w:rsidRPr="00F87C9C" w:rsidRDefault="00966B2B" w:rsidP="000E66B6">
      <w:pPr>
        <w:pStyle w:val="JMEEParagraphtext"/>
        <w:rPr>
          <w:lang w:eastAsia="pl-PL"/>
        </w:rPr>
      </w:pPr>
      <w:r w:rsidRPr="00F87C9C">
        <w:rPr>
          <w:lang w:eastAsia="pl-PL"/>
        </w:rPr>
        <w:t xml:space="preserve">The results of the research indicate an increase in values of the parameters describing the height features of the machined surface roughness profile </w:t>
      </w:r>
      <w:r w:rsidRPr="00F87C9C">
        <w:rPr>
          <w:i/>
          <w:lang w:eastAsia="pl-PL"/>
        </w:rPr>
        <w:t>Ra</w:t>
      </w:r>
      <w:r w:rsidRPr="00F87C9C">
        <w:rPr>
          <w:lang w:eastAsia="pl-PL"/>
        </w:rPr>
        <w:t xml:space="preserve"> and </w:t>
      </w:r>
      <w:r w:rsidRPr="00F87C9C">
        <w:rPr>
          <w:i/>
          <w:lang w:eastAsia="pl-PL"/>
        </w:rPr>
        <w:t>Rz</w:t>
      </w:r>
      <w:r w:rsidRPr="00F87C9C">
        <w:rPr>
          <w:lang w:eastAsia="pl-PL"/>
        </w:rPr>
        <w:t xml:space="preserve"> along with an increase in the value of the conic chamfer (Fig. 4).</w:t>
      </w:r>
    </w:p>
    <w:p w:rsidR="00966B2B" w:rsidRPr="00F87C9C" w:rsidRDefault="00966B2B" w:rsidP="000E66B6">
      <w:pPr>
        <w:pStyle w:val="JMEEParagraphtext"/>
        <w:rPr>
          <w:lang w:eastAsia="pl-PL"/>
        </w:rPr>
      </w:pPr>
      <w:r w:rsidRPr="00F87C9C">
        <w:rPr>
          <w:lang w:eastAsia="pl-PL"/>
        </w:rPr>
        <w:t>Such a tendency is observed in the results registered for surfaces grinded using grinding wheels with zone-diversified structure (99A/SG, SG/99A and SG/SG), and for surfaces grinded without the finish grinding zone (99A 100% and SG 100%).</w:t>
      </w:r>
    </w:p>
    <w:p w:rsidR="00966B2B" w:rsidRPr="00F87C9C" w:rsidRDefault="00863A1A" w:rsidP="000E66B6">
      <w:pPr>
        <w:pStyle w:val="JMEEFigure"/>
      </w:pPr>
      <w:r w:rsidRPr="00F87C9C">
        <w:rPr>
          <w:lang w:val="pl-PL"/>
        </w:rPr>
        <w:lastRenderedPageBreak/>
        <w:drawing>
          <wp:inline distT="0" distB="0" distL="0" distR="0">
            <wp:extent cx="2519680" cy="3733165"/>
            <wp:effectExtent l="19050" t="0" r="0" b="0"/>
            <wp:docPr id="4" name="Obraz 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6" cstate="print"/>
                    <a:stretch>
                      <a:fillRect/>
                    </a:stretch>
                  </pic:blipFill>
                  <pic:spPr>
                    <a:xfrm>
                      <a:off x="0" y="0"/>
                      <a:ext cx="2519680" cy="3733165"/>
                    </a:xfrm>
                    <a:prstGeom prst="rect">
                      <a:avLst/>
                    </a:prstGeom>
                  </pic:spPr>
                </pic:pic>
              </a:graphicData>
            </a:graphic>
          </wp:inline>
        </w:drawing>
      </w:r>
    </w:p>
    <w:p w:rsidR="00966B2B" w:rsidRPr="00F87C9C" w:rsidRDefault="00966B2B" w:rsidP="000E66B6">
      <w:pPr>
        <w:pStyle w:val="JMEEFigurecaption"/>
      </w:pPr>
      <w:r w:rsidRPr="00F87C9C">
        <w:t xml:space="preserve">Effect of the grinding wheel conic chamfer angle </w:t>
      </w:r>
      <w:r w:rsidRPr="00F87C9C">
        <w:rPr>
          <w:i/>
          <w:lang w:val="pl-PL"/>
        </w:rPr>
        <w:sym w:font="Symbol" w:char="F063"/>
      </w:r>
      <w:r w:rsidRPr="00F87C9C">
        <w:t xml:space="preserve"> on the roughness profile elevation features of the machined surface: a) arithmetic mean deviation of the assessed profile </w:t>
      </w:r>
      <w:r w:rsidRPr="00F87C9C">
        <w:rPr>
          <w:i/>
        </w:rPr>
        <w:t>Ra</w:t>
      </w:r>
      <w:r w:rsidRPr="00F87C9C">
        <w:t>; b) maximum height of the profile within a sampling length </w:t>
      </w:r>
      <w:r w:rsidRPr="00F87C9C">
        <w:rPr>
          <w:i/>
        </w:rPr>
        <w:t>Rz</w:t>
      </w:r>
    </w:p>
    <w:p w:rsidR="00966B2B" w:rsidRPr="00F87C9C" w:rsidRDefault="00966B2B" w:rsidP="000E66B6">
      <w:pPr>
        <w:pStyle w:val="JMEEParagraphtext"/>
        <w:rPr>
          <w:lang w:eastAsia="pl-PL"/>
        </w:rPr>
      </w:pPr>
      <w:r w:rsidRPr="00F87C9C">
        <w:rPr>
          <w:lang w:eastAsia="pl-PL"/>
        </w:rPr>
        <w:t xml:space="preserve">This is caused by the chamfer width </w:t>
      </w:r>
      <w:r w:rsidRPr="00F87C9C">
        <w:rPr>
          <w:i/>
          <w:lang w:eastAsia="pl-PL"/>
        </w:rPr>
        <w:t xml:space="preserve">b </w:t>
      </w:r>
      <w:r w:rsidRPr="00F87C9C">
        <w:rPr>
          <w:lang w:eastAsia="pl-PL"/>
        </w:rPr>
        <w:t xml:space="preserve">shortening along with an increase of the </w:t>
      </w:r>
      <w:r w:rsidRPr="00F87C9C">
        <w:rPr>
          <w:i/>
          <w:lang w:eastAsia="pl-PL"/>
        </w:rPr>
        <w:sym w:font="Symbol" w:char="F063"/>
      </w:r>
      <w:r w:rsidRPr="00F87C9C">
        <w:rPr>
          <w:lang w:eastAsia="pl-PL"/>
        </w:rPr>
        <w:t xml:space="preserve"> angle. The short cone hinders effective realization of the rough grinding through the limited number of active grains that are simultaneously subject to increased strain. Accumu</w:t>
      </w:r>
      <w:r w:rsidR="004C1AC0" w:rsidRPr="00F87C9C">
        <w:rPr>
          <w:lang w:eastAsia="pl-PL"/>
        </w:rPr>
        <w:t>-</w:t>
      </w:r>
      <w:r w:rsidRPr="00F87C9C">
        <w:rPr>
          <w:lang w:eastAsia="pl-PL"/>
        </w:rPr>
        <w:t>lation of large-sized chips on a small area, despite the significant porosity, causes high intensity of clogging the abrasive tool active surface. Figure 5 presents SEM micrographs of the chips (Fig. 5a and 5b) and the cloggings (Fig. 5c and 5d) registered in the conic rough grinding zone of the grinding wheel active surface 99A/SG, SG/SG and SG/99A.</w:t>
      </w:r>
    </w:p>
    <w:p w:rsidR="00966B2B" w:rsidRPr="00F87C9C" w:rsidRDefault="00966B2B" w:rsidP="000E66B6">
      <w:pPr>
        <w:pStyle w:val="JMEEParagraphtext"/>
        <w:rPr>
          <w:lang w:eastAsia="pl-PL"/>
        </w:rPr>
      </w:pPr>
      <w:r w:rsidRPr="00F87C9C">
        <w:rPr>
          <w:lang w:eastAsia="pl-PL"/>
        </w:rPr>
        <w:t xml:space="preserve">In such a case deformations of the machining system increase, because of which the cylindrical part of the wheel, apart from the function of rough grinding and sparking out, must also remove the remaining layer of the material. As a result, despite the long cylindrical smoothing out zone, the obtained surface roughness expressed with parameters </w:t>
      </w:r>
      <w:r w:rsidRPr="00F87C9C">
        <w:rPr>
          <w:i/>
          <w:lang w:eastAsia="pl-PL"/>
        </w:rPr>
        <w:t>Ra</w:t>
      </w:r>
      <w:r w:rsidRPr="00F87C9C">
        <w:rPr>
          <w:lang w:eastAsia="pl-PL"/>
        </w:rPr>
        <w:t xml:space="preserve"> and </w:t>
      </w:r>
      <w:r w:rsidRPr="00F87C9C">
        <w:rPr>
          <w:i/>
          <w:lang w:eastAsia="pl-PL"/>
        </w:rPr>
        <w:t>Rz</w:t>
      </w:r>
      <w:r w:rsidRPr="00F87C9C">
        <w:rPr>
          <w:lang w:eastAsia="pl-PL"/>
        </w:rPr>
        <w:t xml:space="preserve"> adopt the highest level for angle </w:t>
      </w:r>
      <w:r w:rsidRPr="00F87C9C">
        <w:rPr>
          <w:i/>
          <w:lang w:eastAsia="pl-PL"/>
        </w:rPr>
        <w:sym w:font="Symbol" w:char="F063"/>
      </w:r>
      <w:r w:rsidRPr="00F87C9C">
        <w:rPr>
          <w:i/>
          <w:lang w:eastAsia="pl-PL"/>
        </w:rPr>
        <w:t> = </w:t>
      </w:r>
      <w:r w:rsidRPr="00F87C9C">
        <w:rPr>
          <w:lang w:eastAsia="pl-PL"/>
        </w:rPr>
        <w:t>1.15</w:t>
      </w:r>
      <w:r w:rsidRPr="00F87C9C">
        <w:rPr>
          <w:lang w:eastAsia="pl-PL"/>
        </w:rPr>
        <w:sym w:font="Symbol" w:char="F0B0"/>
      </w:r>
      <w:r w:rsidRPr="00F87C9C">
        <w:rPr>
          <w:lang w:eastAsia="pl-PL"/>
        </w:rPr>
        <w:t xml:space="preserve">, which corresponds to the conic chamfer width </w:t>
      </w:r>
      <w:r w:rsidRPr="00F87C9C">
        <w:rPr>
          <w:i/>
          <w:lang w:eastAsia="pl-PL"/>
        </w:rPr>
        <w:t>b = </w:t>
      </w:r>
      <w:r w:rsidRPr="00F87C9C">
        <w:rPr>
          <w:lang w:eastAsia="pl-PL"/>
        </w:rPr>
        <w:t>5 mm.</w:t>
      </w:r>
    </w:p>
    <w:p w:rsidR="00966B2B" w:rsidRPr="00F87C9C" w:rsidRDefault="00914938" w:rsidP="000E66B6">
      <w:pPr>
        <w:pStyle w:val="JMEEParagraphtext"/>
        <w:rPr>
          <w:lang w:eastAsia="pl-PL"/>
        </w:rPr>
      </w:pPr>
      <w:r w:rsidRPr="00F87C9C">
        <w:rPr>
          <w:lang w:eastAsia="pl-PL"/>
        </w:rPr>
        <w:t xml:space="preserve">The chart of changes of the </w:t>
      </w:r>
      <w:r w:rsidRPr="00F87C9C">
        <w:rPr>
          <w:i/>
          <w:lang w:eastAsia="pl-PL"/>
        </w:rPr>
        <w:t>RSm</w:t>
      </w:r>
      <w:r w:rsidRPr="00F87C9C">
        <w:rPr>
          <w:lang w:eastAsia="pl-PL"/>
        </w:rPr>
        <w:t xml:space="preserve"> parameter which describing longitudinal parameters of the machined surface roughness reveal a decreasing tendency as the values of angle </w:t>
      </w:r>
      <w:r w:rsidRPr="00F87C9C">
        <w:rPr>
          <w:i/>
          <w:lang w:eastAsia="pl-PL"/>
        </w:rPr>
        <w:sym w:font="Symbol" w:char="F063"/>
      </w:r>
      <w:r w:rsidRPr="00F87C9C">
        <w:rPr>
          <w:lang w:eastAsia="pl-PL"/>
        </w:rPr>
        <w:t xml:space="preserve"> (Fig. 6a) drop.</w:t>
      </w:r>
    </w:p>
    <w:p w:rsidR="00966B2B" w:rsidRPr="00F87C9C" w:rsidRDefault="00966B2B" w:rsidP="000E66B6">
      <w:pPr>
        <w:pStyle w:val="JMEEFigure"/>
        <w:sectPr w:rsidR="00966B2B" w:rsidRPr="00F87C9C" w:rsidSect="00D91F2B">
          <w:type w:val="continuous"/>
          <w:pgSz w:w="10773" w:h="15422" w:code="9"/>
          <w:pgMar w:top="1134" w:right="1134" w:bottom="1134" w:left="1134" w:header="567" w:footer="567" w:gutter="284"/>
          <w:cols w:num="2" w:space="284"/>
          <w:titlePg/>
          <w:docGrid w:linePitch="360"/>
        </w:sectPr>
      </w:pPr>
    </w:p>
    <w:p w:rsidR="00966B2B" w:rsidRPr="00F87C9C" w:rsidRDefault="00863A1A" w:rsidP="000E66B6">
      <w:pPr>
        <w:pStyle w:val="JMEEFigure"/>
      </w:pPr>
      <w:r w:rsidRPr="00F87C9C">
        <w:rPr>
          <w:lang w:val="pl-PL"/>
        </w:rPr>
        <w:lastRenderedPageBreak/>
        <w:drawing>
          <wp:inline distT="0" distB="0" distL="0" distR="0">
            <wp:extent cx="4504944" cy="3005328"/>
            <wp:effectExtent l="19050" t="0" r="0" b="0"/>
            <wp:docPr id="6" name="Obraz 5" descr="fi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5.jpg"/>
                    <pic:cNvPicPr/>
                  </pic:nvPicPr>
                  <pic:blipFill>
                    <a:blip r:embed="rId27" cstate="print"/>
                    <a:stretch>
                      <a:fillRect/>
                    </a:stretch>
                  </pic:blipFill>
                  <pic:spPr>
                    <a:xfrm>
                      <a:off x="0" y="0"/>
                      <a:ext cx="4504944" cy="3005328"/>
                    </a:xfrm>
                    <a:prstGeom prst="rect">
                      <a:avLst/>
                    </a:prstGeom>
                  </pic:spPr>
                </pic:pic>
              </a:graphicData>
            </a:graphic>
          </wp:inline>
        </w:drawing>
      </w:r>
    </w:p>
    <w:p w:rsidR="00966B2B" w:rsidRPr="00F87C9C" w:rsidRDefault="00966B2B" w:rsidP="000E66B6">
      <w:pPr>
        <w:pStyle w:val="JMEEFigurecaption"/>
      </w:pPr>
      <w:r w:rsidRPr="00F87C9C">
        <w:t xml:space="preserve">SEM micrographs of the chips and the smears on rough grinding zone of the GWAS obtained by JEOL </w:t>
      </w:r>
      <w:r w:rsidRPr="00F87C9C">
        <w:rPr>
          <w:spacing w:val="-2"/>
          <w:szCs w:val="20"/>
        </w:rPr>
        <w:t xml:space="preserve">JSM-5500LV </w:t>
      </w:r>
      <w:r w:rsidRPr="00F87C9C">
        <w:rPr>
          <w:szCs w:val="20"/>
        </w:rPr>
        <w:t xml:space="preserve">for: </w:t>
      </w:r>
      <w:r w:rsidRPr="00F87C9C">
        <w:t xml:space="preserve">a) 99A/SG grinding wheel; </w:t>
      </w:r>
      <w:r w:rsidRPr="00F87C9C">
        <w:rPr>
          <w:spacing w:val="-2"/>
        </w:rPr>
        <w:t>b) SG/SG grinding wheel; c) SG/SG grinding wheel; d) SG/99A grinding wheel</w:t>
      </w:r>
    </w:p>
    <w:p w:rsidR="00966B2B" w:rsidRPr="00F87C9C" w:rsidRDefault="00966B2B" w:rsidP="000E66B6">
      <w:pPr>
        <w:pStyle w:val="JMEEParagraphtext"/>
        <w:rPr>
          <w:lang w:eastAsia="pl-PL"/>
        </w:rPr>
        <w:sectPr w:rsidR="00966B2B" w:rsidRPr="00F87C9C" w:rsidSect="001D7415">
          <w:type w:val="continuous"/>
          <w:pgSz w:w="10773" w:h="15422" w:code="9"/>
          <w:pgMar w:top="1134" w:right="1134" w:bottom="1134" w:left="1134" w:header="567" w:footer="567" w:gutter="284"/>
          <w:cols w:space="284"/>
          <w:docGrid w:linePitch="360"/>
        </w:sectPr>
      </w:pPr>
    </w:p>
    <w:p w:rsidR="00966B2B" w:rsidRPr="00F87C9C" w:rsidRDefault="00966B2B" w:rsidP="000E66B6">
      <w:pPr>
        <w:pStyle w:val="JMEEParagraphtext"/>
        <w:rPr>
          <w:lang w:eastAsia="pl-PL"/>
        </w:rPr>
      </w:pPr>
      <w:r w:rsidRPr="00F87C9C">
        <w:rPr>
          <w:lang w:eastAsia="pl-PL"/>
        </w:rPr>
        <w:lastRenderedPageBreak/>
        <w:t xml:space="preserve">The decrease of the value of the mean roughness distance corresponds to the greater surface peak density, i.e. lesser smoothness of the obtained surface. The root-mean-square slope of the profile </w:t>
      </w:r>
      <w:r w:rsidRPr="00F87C9C">
        <w:rPr>
          <w:i/>
          <w:lang w:eastAsia="pl-PL"/>
        </w:rPr>
        <w:t>Rdq</w:t>
      </w:r>
      <w:r w:rsidRPr="00F87C9C">
        <w:rPr>
          <w:lang w:eastAsia="pl-PL"/>
        </w:rPr>
        <w:t xml:space="preserve"> changes in the function of conic chamfer zone analogically to </w:t>
      </w:r>
      <w:r w:rsidRPr="00F87C9C">
        <w:rPr>
          <w:i/>
          <w:lang w:eastAsia="pl-PL"/>
        </w:rPr>
        <w:t>Ra</w:t>
      </w:r>
      <w:r w:rsidRPr="00F87C9C">
        <w:rPr>
          <w:lang w:eastAsia="pl-PL"/>
        </w:rPr>
        <w:t xml:space="preserve"> and </w:t>
      </w:r>
      <w:r w:rsidRPr="00F87C9C">
        <w:rPr>
          <w:i/>
          <w:lang w:eastAsia="pl-PL"/>
        </w:rPr>
        <w:t>Rz</w:t>
      </w:r>
      <w:r w:rsidRPr="00F87C9C">
        <w:rPr>
          <w:lang w:eastAsia="pl-PL"/>
        </w:rPr>
        <w:t xml:space="preserve"> parameters taking lowest values for </w:t>
      </w:r>
      <w:r w:rsidRPr="00F87C9C">
        <w:rPr>
          <w:i/>
          <w:lang w:eastAsia="pl-PL"/>
        </w:rPr>
        <w:sym w:font="Symbol" w:char="F063"/>
      </w:r>
      <w:r w:rsidRPr="00F87C9C">
        <w:rPr>
          <w:i/>
          <w:lang w:eastAsia="pl-PL"/>
        </w:rPr>
        <w:t> = </w:t>
      </w:r>
      <w:r w:rsidRPr="00F87C9C">
        <w:rPr>
          <w:lang w:eastAsia="pl-PL"/>
        </w:rPr>
        <w:t>0.38</w:t>
      </w:r>
      <w:r w:rsidRPr="00F87C9C">
        <w:rPr>
          <w:lang w:eastAsia="pl-PL"/>
        </w:rPr>
        <w:sym w:font="Symbol" w:char="F0B0"/>
      </w:r>
      <w:r w:rsidRPr="00F87C9C">
        <w:rPr>
          <w:lang w:eastAsia="pl-PL"/>
        </w:rPr>
        <w:t xml:space="preserve"> (Fig. 6b).</w:t>
      </w:r>
    </w:p>
    <w:p w:rsidR="00E83219" w:rsidRPr="00F87C9C" w:rsidRDefault="00E83219" w:rsidP="000E66B6">
      <w:pPr>
        <w:pStyle w:val="JMEEParagraphtext"/>
        <w:rPr>
          <w:lang w:eastAsia="pl-PL"/>
        </w:rPr>
      </w:pPr>
      <w:r w:rsidRPr="00F87C9C">
        <w:rPr>
          <w:lang w:eastAsia="pl-PL"/>
        </w:rPr>
        <w:t xml:space="preserve">What can be observed on charts of parameters </w:t>
      </w:r>
      <w:r w:rsidRPr="00F87C9C">
        <w:rPr>
          <w:i/>
          <w:lang w:eastAsia="pl-PL"/>
        </w:rPr>
        <w:t>Ra</w:t>
      </w:r>
      <w:r w:rsidRPr="00F87C9C">
        <w:rPr>
          <w:lang w:eastAsia="pl-PL"/>
        </w:rPr>
        <w:t xml:space="preserve">, </w:t>
      </w:r>
      <w:r w:rsidRPr="00F87C9C">
        <w:rPr>
          <w:i/>
          <w:lang w:eastAsia="pl-PL"/>
        </w:rPr>
        <w:t>Rz</w:t>
      </w:r>
      <w:r w:rsidRPr="00F87C9C">
        <w:rPr>
          <w:lang w:eastAsia="pl-PL"/>
        </w:rPr>
        <w:t xml:space="preserve">, </w:t>
      </w:r>
      <w:r w:rsidRPr="00F87C9C">
        <w:rPr>
          <w:i/>
          <w:lang w:eastAsia="pl-PL"/>
        </w:rPr>
        <w:t>RSm</w:t>
      </w:r>
      <w:r w:rsidRPr="00F87C9C">
        <w:rPr>
          <w:lang w:eastAsia="pl-PL"/>
        </w:rPr>
        <w:t xml:space="preserve"> and </w:t>
      </w:r>
      <w:r w:rsidRPr="00F87C9C">
        <w:rPr>
          <w:i/>
          <w:lang w:eastAsia="pl-PL"/>
        </w:rPr>
        <w:t>Rdq</w:t>
      </w:r>
      <w:r w:rsidRPr="00F87C9C">
        <w:rPr>
          <w:lang w:eastAsia="pl-PL"/>
        </w:rPr>
        <w:t xml:space="preserve"> are clear separation of lines representing results obtained during machining with grinding wheel SG/SG and SG 100% from lines presenting results of the remaining abrasive tools. The grinding wheels made solely from microcrystalline sintered corundum grains were characterized in the research by almost identical changeability of the results and visibly lower level of the aforementioned roughness parameters.</w:t>
      </w:r>
      <w:r w:rsidRPr="00F87C9C">
        <w:rPr>
          <w:rFonts w:eastAsia="Calibri" w:cs="Times New Roman"/>
          <w:sz w:val="22"/>
        </w:rPr>
        <w:t xml:space="preserve"> </w:t>
      </w:r>
      <w:r w:rsidRPr="00F87C9C">
        <w:rPr>
          <w:lang w:eastAsia="pl-PL"/>
        </w:rPr>
        <w:t>This may be explained by the microcrystalline structure of such grains and their capability for self-sharpening. Even though in the remaining abrasive tools there were also zones made from grains SG</w:t>
      </w:r>
      <w:r w:rsidRPr="00F87C9C">
        <w:rPr>
          <w:vertAlign w:val="superscript"/>
          <w:lang w:eastAsia="pl-PL"/>
        </w:rPr>
        <w:t>®</w:t>
      </w:r>
      <w:r w:rsidRPr="00F87C9C">
        <w:rPr>
          <w:lang w:eastAsia="pl-PL"/>
        </w:rPr>
        <w:t xml:space="preserve"> (except for tool 99A 100%), combined with polycrystalline grains of white fused alumina 99A, these grinding wheels did not provide equally smooth surfaces of the workpiece.</w:t>
      </w:r>
    </w:p>
    <w:p w:rsidR="00E83219" w:rsidRPr="00F87C9C" w:rsidRDefault="00E83219" w:rsidP="000E66B6">
      <w:pPr>
        <w:pStyle w:val="JMEEParagraphtext"/>
        <w:rPr>
          <w:lang w:eastAsia="pl-PL"/>
        </w:rPr>
      </w:pPr>
      <w:r w:rsidRPr="00F87C9C">
        <w:rPr>
          <w:lang w:eastAsia="pl-PL"/>
        </w:rPr>
        <w:t xml:space="preserve">While analyzing charts of changes of participation of particular SCGC zones in the function of the </w:t>
      </w:r>
      <w:r w:rsidRPr="00F87C9C">
        <w:rPr>
          <w:i/>
          <w:lang w:eastAsia="pl-PL"/>
        </w:rPr>
        <w:sym w:font="Symbol" w:char="F063"/>
      </w:r>
      <w:r w:rsidRPr="00F87C9C">
        <w:rPr>
          <w:lang w:eastAsia="pl-PL"/>
        </w:rPr>
        <w:t xml:space="preserve"> angle (Fig. 7), it may be noticed that the greatest participation of the top zone and at the same time the lowest participation of the quasi-nominal zone (i.e. the least favorable conditions) was measured on surfaces</w:t>
      </w:r>
      <w:r w:rsidR="00914938" w:rsidRPr="00F87C9C">
        <w:rPr>
          <w:lang w:eastAsia="pl-PL"/>
        </w:rPr>
        <w:t xml:space="preserve"> grinded with the greatest conic chamfer angle (</w:t>
      </w:r>
      <w:r w:rsidR="00914938" w:rsidRPr="00F87C9C">
        <w:rPr>
          <w:i/>
          <w:lang w:eastAsia="pl-PL"/>
        </w:rPr>
        <w:sym w:font="Symbol" w:char="F063"/>
      </w:r>
      <w:r w:rsidR="00914938" w:rsidRPr="00F87C9C">
        <w:rPr>
          <w:i/>
          <w:lang w:eastAsia="pl-PL"/>
        </w:rPr>
        <w:t> = </w:t>
      </w:r>
      <w:r w:rsidR="00914938" w:rsidRPr="00F87C9C">
        <w:rPr>
          <w:lang w:eastAsia="pl-PL"/>
        </w:rPr>
        <w:t>1.15</w:t>
      </w:r>
      <w:r w:rsidR="00914938" w:rsidRPr="00F87C9C">
        <w:rPr>
          <w:lang w:eastAsia="pl-PL"/>
        </w:rPr>
        <w:sym w:font="Symbol" w:char="F0B0"/>
      </w:r>
      <w:r w:rsidR="00914938" w:rsidRPr="00F87C9C">
        <w:rPr>
          <w:lang w:eastAsia="pl-PL"/>
        </w:rPr>
        <w:t>).</w:t>
      </w:r>
    </w:p>
    <w:p w:rsidR="00E83219" w:rsidRPr="00F87C9C" w:rsidRDefault="00863A1A" w:rsidP="000E66B6">
      <w:pPr>
        <w:pStyle w:val="JMEEFigure"/>
      </w:pPr>
      <w:r w:rsidRPr="00F87C9C">
        <w:rPr>
          <w:lang w:val="pl-PL"/>
        </w:rPr>
        <w:lastRenderedPageBreak/>
        <w:drawing>
          <wp:inline distT="0" distB="0" distL="0" distR="0">
            <wp:extent cx="2519680" cy="3709670"/>
            <wp:effectExtent l="19050" t="0" r="0" b="0"/>
            <wp:docPr id="7" name="Obraz 6" descr="fi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6.jpg"/>
                    <pic:cNvPicPr/>
                  </pic:nvPicPr>
                  <pic:blipFill>
                    <a:blip r:embed="rId28" cstate="print"/>
                    <a:stretch>
                      <a:fillRect/>
                    </a:stretch>
                  </pic:blipFill>
                  <pic:spPr>
                    <a:xfrm>
                      <a:off x="0" y="0"/>
                      <a:ext cx="2519680" cy="3709670"/>
                    </a:xfrm>
                    <a:prstGeom prst="rect">
                      <a:avLst/>
                    </a:prstGeom>
                  </pic:spPr>
                </pic:pic>
              </a:graphicData>
            </a:graphic>
          </wp:inline>
        </w:drawing>
      </w:r>
    </w:p>
    <w:p w:rsidR="001D7415" w:rsidRPr="00F87C9C" w:rsidRDefault="00E83219" w:rsidP="000E66B6">
      <w:pPr>
        <w:pStyle w:val="JMEEFigurecaption"/>
      </w:pPr>
      <w:r w:rsidRPr="00F87C9C">
        <w:t xml:space="preserve">Effect of the grinding wheel conic chamfer angle </w:t>
      </w:r>
      <w:r w:rsidRPr="00F87C9C">
        <w:rPr>
          <w:i/>
          <w:lang w:val="pl-PL"/>
        </w:rPr>
        <w:sym w:font="Symbol" w:char="F063"/>
      </w:r>
      <w:r w:rsidRPr="00F87C9C">
        <w:t xml:space="preserve"> on the machined surface roughness parameters: a) mean width of profile elements, within a sampling length </w:t>
      </w:r>
      <w:r w:rsidRPr="00F87C9C">
        <w:rPr>
          <w:i/>
        </w:rPr>
        <w:t>RSm</w:t>
      </w:r>
      <w:r w:rsidRPr="00F87C9C">
        <w:t xml:space="preserve">; b) root-mean-square slope of the profile within a sampling length </w:t>
      </w:r>
      <w:r w:rsidRPr="00F87C9C">
        <w:rPr>
          <w:i/>
        </w:rPr>
        <w:t>Rdq</w:t>
      </w:r>
    </w:p>
    <w:p w:rsidR="001D7415" w:rsidRPr="00F87C9C" w:rsidRDefault="001D7415" w:rsidP="000E66B6">
      <w:pPr>
        <w:pStyle w:val="JMEEFigure"/>
        <w:sectPr w:rsidR="001D7415" w:rsidRPr="00F87C9C" w:rsidSect="00D91F2B">
          <w:type w:val="continuous"/>
          <w:pgSz w:w="10773" w:h="15422" w:code="9"/>
          <w:pgMar w:top="1134" w:right="1134" w:bottom="1134" w:left="1134" w:header="567" w:footer="567" w:gutter="284"/>
          <w:cols w:num="2" w:space="284"/>
          <w:titlePg/>
          <w:docGrid w:linePitch="360"/>
        </w:sectPr>
      </w:pPr>
    </w:p>
    <w:p w:rsidR="001D7415" w:rsidRPr="00F87C9C" w:rsidRDefault="00863A1A" w:rsidP="000E66B6">
      <w:pPr>
        <w:pStyle w:val="JMEEFigure"/>
      </w:pPr>
      <w:r w:rsidRPr="00F87C9C">
        <w:rPr>
          <w:lang w:val="pl-PL"/>
        </w:rPr>
        <w:lastRenderedPageBreak/>
        <w:drawing>
          <wp:inline distT="0" distB="0" distL="0" distR="0">
            <wp:extent cx="4370832" cy="6272784"/>
            <wp:effectExtent l="19050" t="0" r="0" b="0"/>
            <wp:docPr id="8" name="Obraz 7" descr="fi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7.jpg"/>
                    <pic:cNvPicPr/>
                  </pic:nvPicPr>
                  <pic:blipFill>
                    <a:blip r:embed="rId29" cstate="print"/>
                    <a:stretch>
                      <a:fillRect/>
                    </a:stretch>
                  </pic:blipFill>
                  <pic:spPr>
                    <a:xfrm>
                      <a:off x="0" y="0"/>
                      <a:ext cx="4370832" cy="6272784"/>
                    </a:xfrm>
                    <a:prstGeom prst="rect">
                      <a:avLst/>
                    </a:prstGeom>
                  </pic:spPr>
                </pic:pic>
              </a:graphicData>
            </a:graphic>
          </wp:inline>
        </w:drawing>
      </w:r>
    </w:p>
    <w:p w:rsidR="001D7415" w:rsidRPr="00F87C9C" w:rsidRDefault="001D7415" w:rsidP="000E66B6">
      <w:pPr>
        <w:pStyle w:val="JMEEFigurecaption"/>
        <w:rPr>
          <w:lang w:eastAsia="pl-PL"/>
        </w:rPr>
      </w:pPr>
      <w:r w:rsidRPr="00F87C9C">
        <w:t xml:space="preserve">Effect of the grinding wheel conic chamfer angle </w:t>
      </w:r>
      <w:r w:rsidRPr="00F87C9C">
        <w:rPr>
          <w:i/>
          <w:lang w:val="pl-PL"/>
        </w:rPr>
        <w:sym w:font="Symbol" w:char="F063"/>
      </w:r>
      <w:r w:rsidRPr="00F87C9C">
        <w:t xml:space="preserve"> on the shares of the SCGC zones of the ground surface roug</w:t>
      </w:r>
      <w:r w:rsidR="00C97271" w:rsidRPr="00F87C9C">
        <w:t>h</w:t>
      </w:r>
      <w:r w:rsidRPr="00F87C9C">
        <w:t>ness</w:t>
      </w:r>
      <w:r w:rsidR="00863A1A" w:rsidRPr="00F87C9C">
        <w:rPr>
          <w:szCs w:val="20"/>
        </w:rPr>
        <w:t>: a) </w:t>
      </w:r>
      <w:r w:rsidRPr="00F87C9C">
        <w:rPr>
          <w:szCs w:val="20"/>
        </w:rPr>
        <w:t xml:space="preserve">top zone </w:t>
      </w:r>
      <w:r w:rsidRPr="00F87C9C">
        <w:rPr>
          <w:i/>
          <w:szCs w:val="20"/>
        </w:rPr>
        <w:t>T</w:t>
      </w:r>
      <w:r w:rsidRPr="00F87C9C">
        <w:rPr>
          <w:szCs w:val="20"/>
        </w:rPr>
        <w:t xml:space="preserve">; b) working zone </w:t>
      </w:r>
      <w:r w:rsidRPr="00F87C9C">
        <w:rPr>
          <w:i/>
          <w:szCs w:val="20"/>
        </w:rPr>
        <w:t>W</w:t>
      </w:r>
      <w:r w:rsidRPr="00F87C9C">
        <w:rPr>
          <w:szCs w:val="20"/>
        </w:rPr>
        <w:t xml:space="preserve">; c) quasi-nominal zone </w:t>
      </w:r>
      <w:r w:rsidRPr="00F87C9C">
        <w:rPr>
          <w:i/>
          <w:szCs w:val="20"/>
        </w:rPr>
        <w:t>Q</w:t>
      </w:r>
    </w:p>
    <w:p w:rsidR="001D7415" w:rsidRPr="00F87C9C" w:rsidRDefault="001D7415" w:rsidP="000E66B6">
      <w:pPr>
        <w:pStyle w:val="JMEEParagraphtext"/>
        <w:rPr>
          <w:lang w:eastAsia="pl-PL"/>
        </w:rPr>
        <w:sectPr w:rsidR="001D7415" w:rsidRPr="00F87C9C" w:rsidSect="001D7415">
          <w:type w:val="continuous"/>
          <w:pgSz w:w="10773" w:h="15422" w:code="9"/>
          <w:pgMar w:top="1134" w:right="1134" w:bottom="1134" w:left="1134" w:header="567" w:footer="567" w:gutter="284"/>
          <w:cols w:space="284"/>
          <w:docGrid w:linePitch="360"/>
        </w:sectPr>
      </w:pPr>
    </w:p>
    <w:p w:rsidR="00E83219" w:rsidRPr="00F87C9C" w:rsidRDefault="00E83219" w:rsidP="000E66B6">
      <w:pPr>
        <w:pStyle w:val="JMEEParagraphtext"/>
        <w:rPr>
          <w:lang w:eastAsia="pl-PL"/>
        </w:rPr>
      </w:pPr>
      <w:r w:rsidRPr="00F87C9C">
        <w:rPr>
          <w:lang w:eastAsia="pl-PL"/>
        </w:rPr>
        <w:lastRenderedPageBreak/>
        <w:t xml:space="preserve">While the height of the working zone remained on more or less the same level, the participation of </w:t>
      </w:r>
      <w:r w:rsidRPr="00F87C9C">
        <w:rPr>
          <w:i/>
          <w:lang w:eastAsia="pl-PL"/>
        </w:rPr>
        <w:t>T</w:t>
      </w:r>
      <w:r w:rsidRPr="00F87C9C">
        <w:rPr>
          <w:lang w:eastAsia="pl-PL"/>
        </w:rPr>
        <w:t xml:space="preserve"> and </w:t>
      </w:r>
      <w:r w:rsidRPr="00F87C9C">
        <w:rPr>
          <w:i/>
          <w:lang w:eastAsia="pl-PL"/>
        </w:rPr>
        <w:t>Q</w:t>
      </w:r>
      <w:r w:rsidRPr="00F87C9C">
        <w:rPr>
          <w:lang w:eastAsia="pl-PL"/>
        </w:rPr>
        <w:t xml:space="preserve"> zones indicates obtaining the highest surface load capacity during machining with </w:t>
      </w:r>
      <w:r w:rsidRPr="00F87C9C">
        <w:rPr>
          <w:i/>
          <w:lang w:eastAsia="pl-PL"/>
        </w:rPr>
        <w:sym w:font="Symbol" w:char="F063"/>
      </w:r>
      <w:r w:rsidRPr="00F87C9C">
        <w:rPr>
          <w:i/>
          <w:lang w:eastAsia="pl-PL"/>
        </w:rPr>
        <w:t> = </w:t>
      </w:r>
      <w:r w:rsidRPr="00F87C9C">
        <w:rPr>
          <w:lang w:eastAsia="pl-PL"/>
        </w:rPr>
        <w:t>0.57</w:t>
      </w:r>
      <w:r w:rsidRPr="00F87C9C">
        <w:rPr>
          <w:lang w:eastAsia="pl-PL"/>
        </w:rPr>
        <w:sym w:font="Symbol" w:char="F0B0"/>
      </w:r>
      <w:r w:rsidRPr="00F87C9C">
        <w:rPr>
          <w:lang w:eastAsia="pl-PL"/>
        </w:rPr>
        <w:t>. Further decrease of the conic chamfer angle value caused minor deterioration of the load capacity of the machined surfaces.</w:t>
      </w:r>
    </w:p>
    <w:p w:rsidR="001D7415" w:rsidRPr="00F87C9C" w:rsidRDefault="001D7415" w:rsidP="000E66B6">
      <w:pPr>
        <w:pStyle w:val="JMEEParagraphtext"/>
        <w:rPr>
          <w:lang w:eastAsia="pl-PL"/>
        </w:rPr>
      </w:pPr>
      <w:r w:rsidRPr="00F87C9C">
        <w:rPr>
          <w:lang w:eastAsia="pl-PL"/>
        </w:rPr>
        <w:t>A change in the conic chamfer of the examined grinding wheels ranged from 0.38 to 1.15</w:t>
      </w:r>
      <w:r w:rsidRPr="00F87C9C">
        <w:rPr>
          <w:lang w:eastAsia="pl-PL"/>
        </w:rPr>
        <w:sym w:font="Symbol" w:char="F0B0"/>
      </w:r>
      <w:r w:rsidRPr="00F87C9C">
        <w:rPr>
          <w:lang w:eastAsia="pl-PL"/>
        </w:rPr>
        <w:t xml:space="preserve">. It had, as indicated by the roughness parameter results, </w:t>
      </w:r>
      <w:r w:rsidRPr="00F87C9C">
        <w:rPr>
          <w:lang w:eastAsia="pl-PL"/>
        </w:rPr>
        <w:lastRenderedPageBreak/>
        <w:t xml:space="preserve">significant influence on the course of the examined process and the quality of the workpieces. Such diversification of the </w:t>
      </w:r>
      <w:r w:rsidRPr="00F87C9C">
        <w:rPr>
          <w:i/>
          <w:lang w:eastAsia="pl-PL"/>
        </w:rPr>
        <w:sym w:font="Symbol" w:char="F063"/>
      </w:r>
      <w:r w:rsidRPr="00F87C9C">
        <w:rPr>
          <w:lang w:eastAsia="pl-PL"/>
        </w:rPr>
        <w:t xml:space="preserve"> angle did not, however, influence the registered values of the current power of the grinding wheel spindle </w:t>
      </w:r>
      <w:r w:rsidRPr="00F87C9C">
        <w:rPr>
          <w:i/>
          <w:lang w:eastAsia="pl-PL"/>
        </w:rPr>
        <w:t>P</w:t>
      </w:r>
      <w:r w:rsidRPr="00F87C9C">
        <w:rPr>
          <w:lang w:eastAsia="pl-PL"/>
        </w:rPr>
        <w:t xml:space="preserve">, which remained constant over the whole range of variability of the examined parameter </w:t>
      </w:r>
      <w:r w:rsidRPr="00F87C9C">
        <w:rPr>
          <w:bCs/>
          <w:lang w:eastAsia="pl-PL"/>
        </w:rPr>
        <w:t>(</w:t>
      </w:r>
      <w:r w:rsidRPr="00F87C9C">
        <w:rPr>
          <w:lang w:eastAsia="pl-PL"/>
        </w:rPr>
        <w:t>Fig. 8</w:t>
      </w:r>
      <w:r w:rsidRPr="00F87C9C">
        <w:rPr>
          <w:bCs/>
          <w:lang w:eastAsia="pl-PL"/>
        </w:rPr>
        <w:t>)</w:t>
      </w:r>
      <w:r w:rsidRPr="00F87C9C">
        <w:rPr>
          <w:lang w:eastAsia="pl-PL"/>
        </w:rPr>
        <w:t>.</w:t>
      </w:r>
    </w:p>
    <w:p w:rsidR="001D7415" w:rsidRPr="00F87C9C" w:rsidRDefault="001D7415" w:rsidP="000E66B6">
      <w:pPr>
        <w:pStyle w:val="JMEEParagraphtext"/>
        <w:rPr>
          <w:lang w:eastAsia="pl-PL"/>
        </w:rPr>
      </w:pPr>
      <w:r w:rsidRPr="00F87C9C">
        <w:rPr>
          <w:lang w:eastAsia="pl-PL"/>
        </w:rPr>
        <w:t xml:space="preserve">The obtained results of the research allows to conclude that the most advantageous values of the parameters describing grinded surface roughness, were </w:t>
      </w:r>
      <w:r w:rsidRPr="00F87C9C">
        <w:rPr>
          <w:lang w:eastAsia="pl-PL"/>
        </w:rPr>
        <w:lastRenderedPageBreak/>
        <w:t xml:space="preserve">obtained for the process realized with the conic chamfer of the abrasive tool </w:t>
      </w:r>
      <w:r w:rsidRPr="00F87C9C">
        <w:rPr>
          <w:i/>
          <w:lang w:eastAsia="pl-PL"/>
        </w:rPr>
        <w:sym w:font="Symbol" w:char="F063"/>
      </w:r>
      <w:r w:rsidRPr="00F87C9C">
        <w:rPr>
          <w:i/>
          <w:lang w:eastAsia="pl-PL"/>
        </w:rPr>
        <w:t> = </w:t>
      </w:r>
      <w:r w:rsidRPr="00F87C9C">
        <w:rPr>
          <w:lang w:eastAsia="pl-PL"/>
        </w:rPr>
        <w:t>0.38</w:t>
      </w:r>
      <w:r w:rsidRPr="00F87C9C">
        <w:rPr>
          <w:lang w:eastAsia="pl-PL"/>
        </w:rPr>
        <w:sym w:font="Symbol" w:char="F0B0"/>
      </w:r>
      <w:r w:rsidRPr="00F87C9C">
        <w:rPr>
          <w:lang w:eastAsia="pl-PL"/>
        </w:rPr>
        <w:t xml:space="preserve">. This value of the angle </w:t>
      </w:r>
      <w:r w:rsidRPr="00F87C9C">
        <w:rPr>
          <w:i/>
          <w:lang w:eastAsia="pl-PL"/>
        </w:rPr>
        <w:sym w:font="Symbol" w:char="F063"/>
      </w:r>
      <w:r w:rsidRPr="00F87C9C">
        <w:rPr>
          <w:lang w:eastAsia="pl-PL"/>
        </w:rPr>
        <w:t xml:space="preserve"> corresponds to the greatest chamfer width </w:t>
      </w:r>
      <w:r w:rsidRPr="00F87C9C">
        <w:rPr>
          <w:i/>
          <w:lang w:eastAsia="pl-PL"/>
        </w:rPr>
        <w:t>b = </w:t>
      </w:r>
      <w:r w:rsidRPr="00F87C9C">
        <w:rPr>
          <w:lang w:eastAsia="pl-PL"/>
        </w:rPr>
        <w:t>15 mm. This means that the even distribution of the total machining allowance on a greater area of the grinding wheel conic chamfer allows for more effective operation of the rough grinding zone. As a result, the shorter cylindrical part of the grinding wheel removes a smaller volume of the material, which further guarantees lower roughness of the machined surface.</w:t>
      </w:r>
    </w:p>
    <w:p w:rsidR="001D7415" w:rsidRPr="00F87C9C" w:rsidRDefault="00863A1A" w:rsidP="000E66B6">
      <w:pPr>
        <w:pStyle w:val="JMEEFigure"/>
      </w:pPr>
      <w:r w:rsidRPr="00F87C9C">
        <w:rPr>
          <w:lang w:val="pl-PL"/>
        </w:rPr>
        <w:drawing>
          <wp:inline distT="0" distB="0" distL="0" distR="0">
            <wp:extent cx="2519680" cy="3789045"/>
            <wp:effectExtent l="19050" t="0" r="0" b="0"/>
            <wp:docPr id="9" name="Obraz 8" descr="fig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8.jpg"/>
                    <pic:cNvPicPr/>
                  </pic:nvPicPr>
                  <pic:blipFill>
                    <a:blip r:embed="rId30" cstate="print"/>
                    <a:stretch>
                      <a:fillRect/>
                    </a:stretch>
                  </pic:blipFill>
                  <pic:spPr>
                    <a:xfrm>
                      <a:off x="0" y="0"/>
                      <a:ext cx="2519680" cy="3789045"/>
                    </a:xfrm>
                    <a:prstGeom prst="rect">
                      <a:avLst/>
                    </a:prstGeom>
                  </pic:spPr>
                </pic:pic>
              </a:graphicData>
            </a:graphic>
          </wp:inline>
        </w:drawing>
      </w:r>
    </w:p>
    <w:p w:rsidR="001D7415" w:rsidRPr="00F87C9C" w:rsidRDefault="001D7415" w:rsidP="000E66B6">
      <w:pPr>
        <w:pStyle w:val="JMEEFigurecaption"/>
        <w:rPr>
          <w:lang w:eastAsia="pl-PL"/>
        </w:rPr>
      </w:pPr>
      <w:r w:rsidRPr="00F87C9C">
        <w:t xml:space="preserve">Effect of the grinding wheel conic chamfer angle </w:t>
      </w:r>
      <w:r w:rsidRPr="00F87C9C">
        <w:rPr>
          <w:i/>
          <w:lang w:val="pl-PL"/>
        </w:rPr>
        <w:sym w:font="Symbol" w:char="F063"/>
      </w:r>
      <w:r w:rsidRPr="00F87C9C">
        <w:t xml:space="preserve"> on the </w:t>
      </w:r>
      <w:r w:rsidRPr="00F87C9C">
        <w:rPr>
          <w:spacing w:val="-2"/>
        </w:rPr>
        <w:t xml:space="preserve">grinding power </w:t>
      </w:r>
      <w:r w:rsidRPr="00F87C9C">
        <w:rPr>
          <w:i/>
          <w:spacing w:val="-2"/>
        </w:rPr>
        <w:t>P</w:t>
      </w:r>
      <w:r w:rsidRPr="00F87C9C">
        <w:rPr>
          <w:spacing w:val="-2"/>
        </w:rPr>
        <w:t xml:space="preserve"> (a) and the grinding power gain </w:t>
      </w:r>
      <w:r w:rsidRPr="00F87C9C">
        <w:rPr>
          <w:i/>
          <w:spacing w:val="-2"/>
          <w:lang w:val="pl-PL"/>
        </w:rPr>
        <w:sym w:font="Symbol" w:char="F044"/>
      </w:r>
      <w:r w:rsidRPr="00F87C9C">
        <w:rPr>
          <w:i/>
          <w:spacing w:val="-2"/>
        </w:rPr>
        <w:t>P</w:t>
      </w:r>
      <w:r w:rsidRPr="00F87C9C">
        <w:rPr>
          <w:spacing w:val="-2"/>
        </w:rPr>
        <w:t xml:space="preserve"> (b)</w:t>
      </w:r>
    </w:p>
    <w:p w:rsidR="0007105A" w:rsidRPr="00F87C9C" w:rsidRDefault="001D7415" w:rsidP="003F1E87">
      <w:pPr>
        <w:pStyle w:val="JMEEHeading1"/>
        <w:rPr>
          <w:lang w:eastAsia="pl-PL"/>
        </w:rPr>
      </w:pPr>
      <w:r w:rsidRPr="00F87C9C">
        <w:t>Conclusions</w:t>
      </w:r>
    </w:p>
    <w:p w:rsidR="001D7415" w:rsidRPr="00F87C9C" w:rsidRDefault="001D7415" w:rsidP="000E66B6">
      <w:pPr>
        <w:pStyle w:val="JMEEParagraphtext"/>
      </w:pPr>
      <w:r w:rsidRPr="00F87C9C">
        <w:t xml:space="preserve">The carried out research on the influence of the value of the grinding wheel conic chamfer angle on the roughness parameters of the machined surfaces and the grinding power prove that it is possible to optimize the conditions of the realization of the given process using angle </w:t>
      </w:r>
      <w:r w:rsidRPr="00F87C9C">
        <w:rPr>
          <w:i/>
        </w:rPr>
        <w:sym w:font="Symbol" w:char="F063"/>
      </w:r>
      <w:r w:rsidRPr="00F87C9C">
        <w:t>. It must be, however, noticed that precise realization of conic chamfer in the field of low values of the angle requires application of special device.</w:t>
      </w:r>
    </w:p>
    <w:p w:rsidR="001D7415" w:rsidRPr="00F87C9C" w:rsidRDefault="001D7415" w:rsidP="000E66B6">
      <w:pPr>
        <w:pStyle w:val="JMEEParagraphtext"/>
      </w:pPr>
      <w:r w:rsidRPr="00F87C9C">
        <w:t xml:space="preserve">The measured parameters of the geometric structure of the machined surfaces and the grinding power indicated, without any exception, that there was an improvement in the conditions of realization of the </w:t>
      </w:r>
      <w:r w:rsidRPr="00F87C9C">
        <w:lastRenderedPageBreak/>
        <w:t>traverse internal cylindrical grinding process along with a drop in the value of the grinding wheel conic chamfer value.</w:t>
      </w:r>
    </w:p>
    <w:p w:rsidR="005428F6" w:rsidRPr="00F87C9C" w:rsidRDefault="005428F6" w:rsidP="000E66B6">
      <w:pPr>
        <w:pStyle w:val="JMEEParagraphtext"/>
      </w:pPr>
      <w:r w:rsidRPr="00F87C9C">
        <w:t>The even distribution of the machining allowance over a greater surface of wider conic chamfer allowed for more effective removal of the material in the rough grinding zone and despite shortening of the cylindrical part of the grinding wheel contributed to improvement of the smoothness of the grinded surfaces. Simulta-neously, modification of the chamfer parameters did not have any significant influence on the grinding power.</w:t>
      </w:r>
    </w:p>
    <w:p w:rsidR="005428F6" w:rsidRPr="00F87C9C" w:rsidRDefault="005428F6" w:rsidP="000E66B6">
      <w:pPr>
        <w:pStyle w:val="JMEEParagraphtext"/>
      </w:pPr>
      <w:r w:rsidRPr="00F87C9C">
        <w:t xml:space="preserve">The obtained research results form the basis for determining recommendations in terms of the suggested width of the conic chamfer performed on the abrasive tools’ active surface in such grinding processes. It may be assumed that the chamfer width should equal 90% of the rough grinding zone width </w:t>
      </w:r>
      <w:r w:rsidRPr="00F87C9C">
        <w:rPr>
          <w:i/>
        </w:rPr>
        <w:t>b</w:t>
      </w:r>
      <w:r w:rsidRPr="00F87C9C">
        <w:rPr>
          <w:lang w:val="sl-SI"/>
        </w:rPr>
        <w:t> </w:t>
      </w:r>
      <w:r w:rsidRPr="00F87C9C">
        <w:t>= 0.9</w:t>
      </w:r>
      <w:r w:rsidRPr="00F87C9C">
        <w:sym w:font="Symbol" w:char="F0D7"/>
      </w:r>
      <w:r w:rsidRPr="00F87C9C">
        <w:rPr>
          <w:i/>
        </w:rPr>
        <w:t>T</w:t>
      </w:r>
      <w:r w:rsidRPr="00F87C9C">
        <w:rPr>
          <w:i/>
          <w:vertAlign w:val="subscript"/>
        </w:rPr>
        <w:t>1</w:t>
      </w:r>
      <w:r w:rsidRPr="00F87C9C">
        <w:t xml:space="preserve">. Such a value allows for maximum usage of the grinding wheel zone width designed with a view to intensive removal of material and leave a margin for motion towards the end of the chamfer in the direction of the cylindrical part, caused by progressive wear of the grinding wheel. The final value of the chamfer angle </w:t>
      </w:r>
      <w:r w:rsidRPr="00F87C9C">
        <w:rPr>
          <w:i/>
        </w:rPr>
        <w:sym w:font="Symbol" w:char="F063"/>
      </w:r>
      <w:r w:rsidRPr="00F87C9C">
        <w:t xml:space="preserve"> will result from the chamfer width </w:t>
      </w:r>
      <w:r w:rsidRPr="00F87C9C">
        <w:rPr>
          <w:i/>
        </w:rPr>
        <w:t>b</w:t>
      </w:r>
      <w:r w:rsidRPr="00F87C9C">
        <w:t xml:space="preserve"> and the working engagement value </w:t>
      </w:r>
      <w:r w:rsidRPr="00F87C9C">
        <w:rPr>
          <w:i/>
        </w:rPr>
        <w:t>a</w:t>
      </w:r>
      <w:r w:rsidRPr="00F87C9C">
        <w:rPr>
          <w:i/>
          <w:vertAlign w:val="subscript"/>
        </w:rPr>
        <w:t>e</w:t>
      </w:r>
      <w:r w:rsidRPr="00F87C9C">
        <w:t>.</w:t>
      </w:r>
    </w:p>
    <w:p w:rsidR="00584FF3" w:rsidRPr="00F87C9C" w:rsidRDefault="00BA678C" w:rsidP="00BA678C">
      <w:pPr>
        <w:pStyle w:val="JMEEHeading3"/>
      </w:pPr>
      <w:r w:rsidRPr="00F87C9C">
        <w:t>Acknowledgements</w:t>
      </w:r>
    </w:p>
    <w:p w:rsidR="005428F6" w:rsidRPr="00F87C9C" w:rsidRDefault="005428F6" w:rsidP="000E66B6">
      <w:pPr>
        <w:pStyle w:val="JMEEAcknowledgements"/>
      </w:pPr>
      <w:r w:rsidRPr="00F87C9C">
        <w:t>Part of this work was supported by the Polish Ministry of Science and Higher Education under Grant No. N503 214837. The Author wish to thank Mr. Andrzej Nowicki from Laboratory Team I for his help during experimental investigations of the grinding process, Mr. Krzysztof Maciejewski from the Laboratory of Metrology And Measurement Systems for stylus measurements as well as Mr. Ryszard Gritzman from Central Laboratory of the Institute of Technology and Education for acquisition of SEM micrographs.</w:t>
      </w:r>
    </w:p>
    <w:p w:rsidR="00BA678C" w:rsidRPr="00F87C9C" w:rsidRDefault="00BA678C" w:rsidP="00BA678C">
      <w:pPr>
        <w:pStyle w:val="JMEEHeading3"/>
      </w:pPr>
      <w:bookmarkStart w:id="2" w:name="JournalLayout"/>
      <w:bookmarkEnd w:id="2"/>
      <w:r w:rsidRPr="00F87C9C">
        <w:t>Nomenclature</w:t>
      </w:r>
    </w:p>
    <w:p w:rsidR="00BA678C" w:rsidRPr="00F87C9C" w:rsidRDefault="00BA678C" w:rsidP="00BA678C">
      <w:pPr>
        <w:pStyle w:val="JMEEHeading4"/>
      </w:pPr>
      <w:r w:rsidRPr="00F87C9C">
        <w:t>Symbols</w:t>
      </w:r>
    </w:p>
    <w:p w:rsidR="00BA678C" w:rsidRPr="00F87C9C" w:rsidRDefault="00C97271" w:rsidP="000E66B6">
      <w:pPr>
        <w:pStyle w:val="JMEESymbolsandacronymslist"/>
      </w:pPr>
      <w:r w:rsidRPr="00F87C9C">
        <w:rPr>
          <w:i/>
        </w:rPr>
        <w:t>a</w:t>
      </w:r>
      <w:r w:rsidRPr="00F87C9C">
        <w:rPr>
          <w:i/>
          <w:vertAlign w:val="subscript"/>
        </w:rPr>
        <w:t>e</w:t>
      </w:r>
      <w:r w:rsidR="00BA678C" w:rsidRPr="00F87C9C">
        <w:tab/>
        <w:t>–</w:t>
      </w:r>
      <w:r w:rsidR="00BA678C" w:rsidRPr="00F87C9C">
        <w:tab/>
      </w:r>
      <w:r w:rsidR="006B191E" w:rsidRPr="00F87C9C">
        <w:t>machining</w:t>
      </w:r>
      <w:r w:rsidR="00E03A88" w:rsidRPr="00F87C9C">
        <w:t xml:space="preserve"> allowance (working engagement)</w:t>
      </w:r>
      <w:r w:rsidR="00816E21" w:rsidRPr="00F87C9C">
        <w:t xml:space="preserve">, </w:t>
      </w:r>
      <w:r w:rsidR="00816E21" w:rsidRPr="00F87C9C">
        <w:rPr>
          <w:szCs w:val="16"/>
        </w:rPr>
        <w:t>μm</w:t>
      </w:r>
    </w:p>
    <w:p w:rsidR="00C97271" w:rsidRPr="00F87C9C" w:rsidRDefault="00C97271" w:rsidP="000E66B6">
      <w:pPr>
        <w:pStyle w:val="JMEESymbolsandacronymslist"/>
      </w:pPr>
      <w:r w:rsidRPr="00F87C9C">
        <w:rPr>
          <w:i/>
        </w:rPr>
        <w:t>b</w:t>
      </w:r>
      <w:r w:rsidRPr="00F87C9C">
        <w:tab/>
        <w:t>–</w:t>
      </w:r>
      <w:r w:rsidRPr="00F87C9C">
        <w:tab/>
      </w:r>
      <w:r w:rsidR="00E9069E" w:rsidRPr="00F87C9C">
        <w:t>conic chamfer width</w:t>
      </w:r>
      <w:r w:rsidR="00816E21" w:rsidRPr="00F87C9C">
        <w:t>, mm</w:t>
      </w:r>
    </w:p>
    <w:p w:rsidR="00E9069E" w:rsidRPr="00F87C9C" w:rsidRDefault="00E9069E" w:rsidP="000E66B6">
      <w:pPr>
        <w:pStyle w:val="JMEESymbolsandacronymslist"/>
      </w:pPr>
      <w:r w:rsidRPr="00F87C9C">
        <w:rPr>
          <w:i/>
        </w:rPr>
        <w:t>b</w:t>
      </w:r>
      <w:r w:rsidRPr="00F87C9C">
        <w:rPr>
          <w:i/>
          <w:vertAlign w:val="subscript"/>
        </w:rPr>
        <w:t>w</w:t>
      </w:r>
      <w:r w:rsidRPr="00F87C9C">
        <w:tab/>
        <w:t>–</w:t>
      </w:r>
      <w:r w:rsidRPr="00F87C9C">
        <w:tab/>
        <w:t>workpiece</w:t>
      </w:r>
      <w:r w:rsidR="00E03A88" w:rsidRPr="00F87C9C">
        <w:t xml:space="preserve"> width</w:t>
      </w:r>
      <w:r w:rsidR="00816E21" w:rsidRPr="00F87C9C">
        <w:t>, mm</w:t>
      </w:r>
    </w:p>
    <w:p w:rsidR="006B191E" w:rsidRPr="00F87C9C" w:rsidRDefault="00E9069E" w:rsidP="000E66B6">
      <w:pPr>
        <w:pStyle w:val="JMEESymbolsandacronymslist"/>
      </w:pPr>
      <w:r w:rsidRPr="00F87C9C">
        <w:rPr>
          <w:i/>
        </w:rPr>
        <w:t>d</w:t>
      </w:r>
      <w:r w:rsidRPr="00F87C9C">
        <w:rPr>
          <w:i/>
          <w:vertAlign w:val="subscript"/>
        </w:rPr>
        <w:t>w</w:t>
      </w:r>
      <w:r w:rsidR="006B191E" w:rsidRPr="00F87C9C">
        <w:tab/>
        <w:t>–</w:t>
      </w:r>
      <w:r w:rsidR="006B191E" w:rsidRPr="00F87C9C">
        <w:tab/>
      </w:r>
      <w:r w:rsidR="00E03A88" w:rsidRPr="00F87C9C">
        <w:t>workpiece diameter</w:t>
      </w:r>
      <w:r w:rsidR="00816E21" w:rsidRPr="00F87C9C">
        <w:t>, mm</w:t>
      </w:r>
    </w:p>
    <w:p w:rsidR="00E9069E" w:rsidRPr="00F87C9C" w:rsidRDefault="00E9069E" w:rsidP="000E66B6">
      <w:pPr>
        <w:pStyle w:val="JMEESymbolsandacronymslist"/>
      </w:pPr>
      <w:r w:rsidRPr="00F87C9C">
        <w:rPr>
          <w:i/>
        </w:rPr>
        <w:t>i</w:t>
      </w:r>
      <w:r w:rsidRPr="00F87C9C">
        <w:rPr>
          <w:i/>
          <w:vertAlign w:val="subscript"/>
        </w:rPr>
        <w:t>d</w:t>
      </w:r>
      <w:r w:rsidRPr="00F87C9C">
        <w:tab/>
        <w:t>–</w:t>
      </w:r>
      <w:r w:rsidRPr="00F87C9C">
        <w:tab/>
      </w:r>
      <w:r w:rsidR="00E03A88" w:rsidRPr="00F87C9C">
        <w:t>number of dressing passes</w:t>
      </w:r>
    </w:p>
    <w:p w:rsidR="007F4644" w:rsidRPr="00F87C9C" w:rsidRDefault="007F4644" w:rsidP="000E66B6">
      <w:pPr>
        <w:pStyle w:val="JMEESymbolsandacronymslist"/>
      </w:pPr>
      <w:r w:rsidRPr="00F87C9C">
        <w:rPr>
          <w:i/>
        </w:rPr>
        <w:t>n</w:t>
      </w:r>
      <w:r w:rsidRPr="00F87C9C">
        <w:rPr>
          <w:i/>
          <w:vertAlign w:val="subscript"/>
        </w:rPr>
        <w:t>sd</w:t>
      </w:r>
      <w:r w:rsidRPr="00F87C9C">
        <w:rPr>
          <w:i/>
        </w:rPr>
        <w:t xml:space="preserve"> </w:t>
      </w:r>
      <w:r w:rsidRPr="00F87C9C">
        <w:tab/>
        <w:t>–</w:t>
      </w:r>
      <w:r w:rsidRPr="00F87C9C">
        <w:tab/>
        <w:t xml:space="preserve">grinding wheel </w:t>
      </w:r>
      <w:r w:rsidR="00E03A88" w:rsidRPr="00F87C9C">
        <w:t>rotational speed while dressing</w:t>
      </w:r>
      <w:r w:rsidR="00816E21" w:rsidRPr="00F87C9C">
        <w:t>, rpm</w:t>
      </w:r>
    </w:p>
    <w:p w:rsidR="00C97271" w:rsidRPr="00F87C9C" w:rsidRDefault="00C97271" w:rsidP="000E66B6">
      <w:pPr>
        <w:pStyle w:val="JMEESymbolsandacronymslist"/>
      </w:pPr>
      <w:r w:rsidRPr="00F87C9C">
        <w:rPr>
          <w:i/>
        </w:rPr>
        <w:t>P</w:t>
      </w:r>
      <w:r w:rsidR="00E03A88" w:rsidRPr="00F87C9C">
        <w:tab/>
        <w:t>–</w:t>
      </w:r>
      <w:r w:rsidR="00E03A88" w:rsidRPr="00F87C9C">
        <w:tab/>
        <w:t>grinding  power</w:t>
      </w:r>
      <w:r w:rsidR="00816E21" w:rsidRPr="00F87C9C">
        <w:t>, W</w:t>
      </w:r>
    </w:p>
    <w:p w:rsidR="00E9069E" w:rsidRPr="00F87C9C" w:rsidRDefault="00E9069E" w:rsidP="000E66B6">
      <w:pPr>
        <w:pStyle w:val="JMEESymbolsandacronymslist"/>
      </w:pPr>
      <w:r w:rsidRPr="00F87C9C">
        <w:rPr>
          <w:i/>
          <w:szCs w:val="16"/>
        </w:rPr>
        <w:t>Q</w:t>
      </w:r>
      <w:r w:rsidRPr="00F87C9C">
        <w:rPr>
          <w:i/>
          <w:szCs w:val="16"/>
          <w:vertAlign w:val="subscript"/>
        </w:rPr>
        <w:t>c</w:t>
      </w:r>
      <w:r w:rsidRPr="00F87C9C">
        <w:tab/>
        <w:t>–</w:t>
      </w:r>
      <w:r w:rsidRPr="00F87C9C">
        <w:tab/>
      </w:r>
      <w:r w:rsidR="00E03A88" w:rsidRPr="00F87C9C">
        <w:rPr>
          <w:szCs w:val="20"/>
        </w:rPr>
        <w:t>coolant flow rate</w:t>
      </w:r>
      <w:r w:rsidR="00816E21" w:rsidRPr="00F87C9C">
        <w:rPr>
          <w:szCs w:val="20"/>
        </w:rPr>
        <w:t>, l/min</w:t>
      </w:r>
    </w:p>
    <w:p w:rsidR="007F4644" w:rsidRPr="00F87C9C" w:rsidRDefault="007F4644" w:rsidP="000E66B6">
      <w:pPr>
        <w:pStyle w:val="JMEESymbolsandacronymslist"/>
      </w:pPr>
      <w:r w:rsidRPr="00F87C9C">
        <w:rPr>
          <w:i/>
          <w:szCs w:val="16"/>
        </w:rPr>
        <w:t>Q</w:t>
      </w:r>
      <w:r w:rsidRPr="00F87C9C">
        <w:rPr>
          <w:i/>
          <w:szCs w:val="16"/>
          <w:vertAlign w:val="subscript"/>
        </w:rPr>
        <w:t>d</w:t>
      </w:r>
      <w:r w:rsidRPr="00F87C9C">
        <w:rPr>
          <w:i/>
        </w:rPr>
        <w:t xml:space="preserve"> </w:t>
      </w:r>
      <w:r w:rsidRPr="00F87C9C">
        <w:tab/>
        <w:t>–</w:t>
      </w:r>
      <w:r w:rsidRPr="00F87C9C">
        <w:tab/>
      </w:r>
      <w:r w:rsidR="00E03A88" w:rsidRPr="00F87C9C">
        <w:rPr>
          <w:szCs w:val="20"/>
        </w:rPr>
        <w:t>diamond dresser mass</w:t>
      </w:r>
      <w:r w:rsidR="00816E21" w:rsidRPr="00F87C9C">
        <w:rPr>
          <w:szCs w:val="20"/>
        </w:rPr>
        <w:t>, kt</w:t>
      </w:r>
    </w:p>
    <w:p w:rsidR="00BC0F50" w:rsidRPr="00F87C9C" w:rsidRDefault="00C97271" w:rsidP="000E66B6">
      <w:pPr>
        <w:pStyle w:val="JMEESymbolsandacronymslist"/>
      </w:pPr>
      <w:r w:rsidRPr="00F87C9C">
        <w:rPr>
          <w:i/>
        </w:rPr>
        <w:t>Ra</w:t>
      </w:r>
      <w:r w:rsidR="00BC0F50" w:rsidRPr="00F87C9C">
        <w:tab/>
        <w:t>–</w:t>
      </w:r>
      <w:r w:rsidR="00BC0F50" w:rsidRPr="00F87C9C">
        <w:tab/>
      </w:r>
      <w:r w:rsidRPr="00F87C9C">
        <w:t>arithmetic mean deviation of the assessed profile,</w:t>
      </w:r>
      <w:r w:rsidR="00816E21" w:rsidRPr="00F87C9C">
        <w:t xml:space="preserve"> μm</w:t>
      </w:r>
    </w:p>
    <w:p w:rsidR="00BC0F50" w:rsidRPr="00F87C9C" w:rsidRDefault="00C97271" w:rsidP="000E66B6">
      <w:pPr>
        <w:pStyle w:val="JMEESymbolsandacronymslist"/>
      </w:pPr>
      <w:r w:rsidRPr="00F87C9C">
        <w:rPr>
          <w:i/>
        </w:rPr>
        <w:t>Rz</w:t>
      </w:r>
      <w:r w:rsidR="00BC0F50" w:rsidRPr="00F87C9C">
        <w:tab/>
        <w:t>–</w:t>
      </w:r>
      <w:r w:rsidR="00BC0F50" w:rsidRPr="00F87C9C">
        <w:tab/>
      </w:r>
      <w:r w:rsidRPr="00F87C9C">
        <w:t>maximum height of the p</w:t>
      </w:r>
      <w:r w:rsidR="00E03A88" w:rsidRPr="00F87C9C">
        <w:t>rofile within a sampling length</w:t>
      </w:r>
      <w:r w:rsidR="00816E21" w:rsidRPr="00F87C9C">
        <w:t>, μm</w:t>
      </w:r>
    </w:p>
    <w:p w:rsidR="00BC0F50" w:rsidRPr="00F87C9C" w:rsidRDefault="00C97271" w:rsidP="000E66B6">
      <w:pPr>
        <w:pStyle w:val="JMEESymbolsandacronymslist"/>
      </w:pPr>
      <w:r w:rsidRPr="00F87C9C">
        <w:rPr>
          <w:i/>
        </w:rPr>
        <w:t>RSm</w:t>
      </w:r>
      <w:r w:rsidR="00BC0F50" w:rsidRPr="00F87C9C">
        <w:tab/>
        <w:t>–</w:t>
      </w:r>
      <w:r w:rsidR="00BC0F50" w:rsidRPr="00F87C9C">
        <w:tab/>
      </w:r>
      <w:r w:rsidRPr="00F87C9C">
        <w:t>mean width of profile ele</w:t>
      </w:r>
      <w:r w:rsidR="00E03A88" w:rsidRPr="00F87C9C">
        <w:t>ments, within a sampling length</w:t>
      </w:r>
      <w:r w:rsidR="00816E21" w:rsidRPr="00F87C9C">
        <w:t>, μm</w:t>
      </w:r>
    </w:p>
    <w:p w:rsidR="00BC0F50" w:rsidRPr="00F87C9C" w:rsidRDefault="00C97271" w:rsidP="000E66B6">
      <w:pPr>
        <w:pStyle w:val="JMEESymbolsandacronymslist"/>
      </w:pPr>
      <w:r w:rsidRPr="00F87C9C">
        <w:rPr>
          <w:i/>
        </w:rPr>
        <w:t>Rdq</w:t>
      </w:r>
      <w:r w:rsidR="00BC0F50" w:rsidRPr="00F87C9C">
        <w:tab/>
        <w:t>–</w:t>
      </w:r>
      <w:r w:rsidR="00BC0F50" w:rsidRPr="00F87C9C">
        <w:tab/>
      </w:r>
      <w:r w:rsidRPr="00F87C9C">
        <w:t>root-mean-square (RMS) slope of the p</w:t>
      </w:r>
      <w:r w:rsidR="00E03A88" w:rsidRPr="00F87C9C">
        <w:t>rofile within a sampling length</w:t>
      </w:r>
      <w:r w:rsidR="00816E21" w:rsidRPr="00F87C9C">
        <w:t>, °</w:t>
      </w:r>
    </w:p>
    <w:p w:rsidR="00BC0F50" w:rsidRPr="00F87C9C" w:rsidRDefault="00C97271" w:rsidP="000E66B6">
      <w:pPr>
        <w:pStyle w:val="JMEESymbolsandacronymslist"/>
      </w:pPr>
      <w:r w:rsidRPr="00F87C9C">
        <w:rPr>
          <w:i/>
        </w:rPr>
        <w:lastRenderedPageBreak/>
        <w:t>RTp</w:t>
      </w:r>
      <w:r w:rsidR="00BC0F50" w:rsidRPr="00F87C9C">
        <w:tab/>
        <w:t>–</w:t>
      </w:r>
      <w:r w:rsidR="00BC0F50" w:rsidRPr="00F87C9C">
        <w:tab/>
      </w:r>
      <w:r w:rsidRPr="00F87C9C">
        <w:t>materia</w:t>
      </w:r>
      <w:r w:rsidR="00E03A88" w:rsidRPr="00F87C9C">
        <w:t>l ratio of the complete profile</w:t>
      </w:r>
      <w:r w:rsidR="00816E21" w:rsidRPr="00F87C9C">
        <w:t>, %</w:t>
      </w:r>
    </w:p>
    <w:p w:rsidR="0012709C" w:rsidRPr="00F87C9C" w:rsidRDefault="009B5965" w:rsidP="000E66B6">
      <w:pPr>
        <w:pStyle w:val="JMEESymbolsandacronymslist"/>
      </w:pPr>
      <w:r w:rsidRPr="00F87C9C">
        <w:rPr>
          <w:i/>
          <w:noProof/>
          <w:lang w:val="pl-PL" w:eastAsia="pl-PL"/>
        </w:rPr>
        <w:drawing>
          <wp:anchor distT="0" distB="0" distL="114300" distR="114300" simplePos="0" relativeHeight="251659264" behindDoc="1" locked="0" layoutInCell="1" allowOverlap="1">
            <wp:simplePos x="0" y="0"/>
            <wp:positionH relativeFrom="column">
              <wp:posOffset>2696845</wp:posOffset>
            </wp:positionH>
            <wp:positionV relativeFrom="paragraph">
              <wp:posOffset>120015</wp:posOffset>
            </wp:positionV>
            <wp:extent cx="786130" cy="1050290"/>
            <wp:effectExtent l="19050" t="0" r="0" b="0"/>
            <wp:wrapTight wrapText="bothSides">
              <wp:wrapPolygon edited="0">
                <wp:start x="-523" y="0"/>
                <wp:lineTo x="-523" y="21156"/>
                <wp:lineTo x="21460" y="21156"/>
                <wp:lineTo x="21460" y="0"/>
                <wp:lineTo x="-523" y="0"/>
              </wp:wrapPolygon>
            </wp:wrapTight>
            <wp:docPr id="11" name="Obraz 9" descr="KN_new_kore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new_korekta.jpg"/>
                    <pic:cNvPicPr/>
                  </pic:nvPicPr>
                  <pic:blipFill>
                    <a:blip r:embed="rId31" cstate="print"/>
                    <a:stretch>
                      <a:fillRect/>
                    </a:stretch>
                  </pic:blipFill>
                  <pic:spPr>
                    <a:xfrm>
                      <a:off x="0" y="0"/>
                      <a:ext cx="786130" cy="1050290"/>
                    </a:xfrm>
                    <a:prstGeom prst="rect">
                      <a:avLst/>
                    </a:prstGeom>
                  </pic:spPr>
                </pic:pic>
              </a:graphicData>
            </a:graphic>
          </wp:anchor>
        </w:drawing>
      </w:r>
      <w:r w:rsidR="0012709C" w:rsidRPr="00F87C9C">
        <w:rPr>
          <w:i/>
        </w:rPr>
        <w:t>v</w:t>
      </w:r>
      <w:r w:rsidR="0012709C" w:rsidRPr="00F87C9C">
        <w:rPr>
          <w:i/>
          <w:vertAlign w:val="subscript"/>
        </w:rPr>
        <w:t>fa</w:t>
      </w:r>
      <w:r w:rsidR="0012709C" w:rsidRPr="00F87C9C">
        <w:tab/>
        <w:t>–</w:t>
      </w:r>
      <w:r w:rsidR="0012709C" w:rsidRPr="00F87C9C">
        <w:tab/>
        <w:t xml:space="preserve">axial </w:t>
      </w:r>
      <w:r w:rsidR="00E03A88" w:rsidRPr="00F87C9C">
        <w:t>table feed speed while grinding</w:t>
      </w:r>
      <w:r w:rsidR="00816E21" w:rsidRPr="00F87C9C">
        <w:t>, mm/s</w:t>
      </w:r>
    </w:p>
    <w:p w:rsidR="0012709C" w:rsidRPr="00F87C9C" w:rsidRDefault="0012709C" w:rsidP="000E66B6">
      <w:pPr>
        <w:pStyle w:val="JMEESymbolsandacronymslist"/>
      </w:pPr>
      <w:r w:rsidRPr="00F87C9C">
        <w:rPr>
          <w:i/>
        </w:rPr>
        <w:t>v</w:t>
      </w:r>
      <w:r w:rsidRPr="00F87C9C">
        <w:rPr>
          <w:i/>
          <w:vertAlign w:val="subscript"/>
        </w:rPr>
        <w:t>fd</w:t>
      </w:r>
      <w:r w:rsidRPr="00F87C9C">
        <w:tab/>
        <w:t>–</w:t>
      </w:r>
      <w:r w:rsidRPr="00F87C9C">
        <w:tab/>
        <w:t xml:space="preserve">axial </w:t>
      </w:r>
      <w:r w:rsidR="00E03A88" w:rsidRPr="00F87C9C">
        <w:t>table feed speed while dressing</w:t>
      </w:r>
      <w:r w:rsidR="00816E21" w:rsidRPr="00F87C9C">
        <w:t>, mm/s</w:t>
      </w:r>
    </w:p>
    <w:p w:rsidR="006B191E" w:rsidRPr="00F87C9C" w:rsidRDefault="006B191E" w:rsidP="000E66B6">
      <w:pPr>
        <w:pStyle w:val="JMEESymbolsandacronymslist"/>
      </w:pPr>
      <w:r w:rsidRPr="00F87C9C">
        <w:rPr>
          <w:i/>
          <w:szCs w:val="16"/>
        </w:rPr>
        <w:t>v</w:t>
      </w:r>
      <w:r w:rsidRPr="00F87C9C">
        <w:rPr>
          <w:i/>
          <w:szCs w:val="16"/>
          <w:vertAlign w:val="subscript"/>
        </w:rPr>
        <w:t>s</w:t>
      </w:r>
      <w:r w:rsidRPr="00F87C9C">
        <w:tab/>
        <w:t>–</w:t>
      </w:r>
      <w:r w:rsidRPr="00F87C9C">
        <w:tab/>
      </w:r>
      <w:r w:rsidR="00E03A88" w:rsidRPr="00F87C9C">
        <w:rPr>
          <w:szCs w:val="20"/>
        </w:rPr>
        <w:t>grinding wheel peripheral speed</w:t>
      </w:r>
      <w:r w:rsidR="00816E21" w:rsidRPr="00F87C9C">
        <w:rPr>
          <w:szCs w:val="20"/>
        </w:rPr>
        <w:t>, m/s</w:t>
      </w:r>
    </w:p>
    <w:p w:rsidR="006B191E" w:rsidRPr="00F87C9C" w:rsidRDefault="006B191E" w:rsidP="000E66B6">
      <w:pPr>
        <w:pStyle w:val="JMEESymbolsandacronymslist"/>
      </w:pPr>
      <w:r w:rsidRPr="00F87C9C">
        <w:rPr>
          <w:i/>
          <w:szCs w:val="16"/>
        </w:rPr>
        <w:t>v</w:t>
      </w:r>
      <w:r w:rsidRPr="00F87C9C">
        <w:rPr>
          <w:i/>
          <w:szCs w:val="16"/>
          <w:vertAlign w:val="subscript"/>
        </w:rPr>
        <w:t>w</w:t>
      </w:r>
      <w:r w:rsidRPr="00F87C9C">
        <w:tab/>
        <w:t>–</w:t>
      </w:r>
      <w:r w:rsidRPr="00F87C9C">
        <w:tab/>
        <w:t>w</w:t>
      </w:r>
      <w:r w:rsidR="00E03A88" w:rsidRPr="00F87C9C">
        <w:rPr>
          <w:szCs w:val="20"/>
        </w:rPr>
        <w:t>orkpiece peripheral speed</w:t>
      </w:r>
      <w:r w:rsidR="00816E21" w:rsidRPr="00F87C9C">
        <w:rPr>
          <w:szCs w:val="20"/>
        </w:rPr>
        <w:t>, m/s</w:t>
      </w:r>
    </w:p>
    <w:p w:rsidR="00C97271" w:rsidRPr="00F87C9C" w:rsidRDefault="00C97271" w:rsidP="000E66B6">
      <w:pPr>
        <w:pStyle w:val="JMEESymbolsandacronymslist"/>
      </w:pPr>
      <w:r w:rsidRPr="00F87C9C">
        <w:rPr>
          <w:i/>
          <w:lang w:eastAsia="pl-PL"/>
        </w:rPr>
        <w:sym w:font="Symbol" w:char="F063"/>
      </w:r>
      <w:r w:rsidR="00BC0F50" w:rsidRPr="00F87C9C">
        <w:tab/>
      </w:r>
      <w:r w:rsidRPr="00F87C9C">
        <w:t>–</w:t>
      </w:r>
      <w:r w:rsidRPr="00F87C9C">
        <w:tab/>
        <w:t>angle of t</w:t>
      </w:r>
      <w:r w:rsidR="00E03A88" w:rsidRPr="00F87C9C">
        <w:t>he grinding wheel conic chamfer</w:t>
      </w:r>
      <w:r w:rsidR="00816E21" w:rsidRPr="00F87C9C">
        <w:t>, °</w:t>
      </w:r>
    </w:p>
    <w:p w:rsidR="00BA678C" w:rsidRPr="00F87C9C" w:rsidRDefault="00BA678C" w:rsidP="00BA678C">
      <w:pPr>
        <w:pStyle w:val="JMEEHeading4"/>
      </w:pPr>
      <w:r w:rsidRPr="00F87C9C">
        <w:t>Acronyms</w:t>
      </w:r>
    </w:p>
    <w:p w:rsidR="00BA678C" w:rsidRPr="00F87C9C" w:rsidRDefault="00BA678C" w:rsidP="000E66B6">
      <w:pPr>
        <w:pStyle w:val="JMEESymbolsandacronymslist"/>
      </w:pPr>
      <w:r w:rsidRPr="00F87C9C">
        <w:t>A</w:t>
      </w:r>
      <w:r w:rsidR="00BC0F50" w:rsidRPr="00F87C9C">
        <w:t>FC</w:t>
      </w:r>
      <w:r w:rsidRPr="00F87C9C">
        <w:tab/>
        <w:t>–</w:t>
      </w:r>
      <w:r w:rsidRPr="00F87C9C">
        <w:tab/>
      </w:r>
      <w:r w:rsidR="00E03A88" w:rsidRPr="00F87C9C">
        <w:t>Abbott-Firestone Curve</w:t>
      </w:r>
    </w:p>
    <w:p w:rsidR="00BA678C" w:rsidRPr="00F87C9C" w:rsidRDefault="00BA678C" w:rsidP="000E66B6">
      <w:pPr>
        <w:pStyle w:val="JMEESymbolsandacronymslist"/>
      </w:pPr>
      <w:r w:rsidRPr="00F87C9C">
        <w:t>CBN</w:t>
      </w:r>
      <w:r w:rsidRPr="00F87C9C">
        <w:tab/>
        <w:t>–</w:t>
      </w:r>
      <w:r w:rsidRPr="00F87C9C">
        <w:tab/>
        <w:t>Cubic Boron Nitride</w:t>
      </w:r>
    </w:p>
    <w:p w:rsidR="00BC0F50" w:rsidRPr="00F87C9C" w:rsidRDefault="00BA678C" w:rsidP="000E66B6">
      <w:pPr>
        <w:pStyle w:val="JMEESymbolsandacronymslist"/>
      </w:pPr>
      <w:r w:rsidRPr="00F87C9C">
        <w:t>C</w:t>
      </w:r>
      <w:r w:rsidR="00BC0F50" w:rsidRPr="00F87C9C">
        <w:t>NC</w:t>
      </w:r>
      <w:r w:rsidRPr="00F87C9C">
        <w:tab/>
        <w:t>–</w:t>
      </w:r>
      <w:r w:rsidRPr="00F87C9C">
        <w:tab/>
      </w:r>
      <w:r w:rsidR="00E03A88" w:rsidRPr="00F87C9C">
        <w:t>Computerized Numerical Control</w:t>
      </w:r>
    </w:p>
    <w:p w:rsidR="00BA678C" w:rsidRPr="00F87C9C" w:rsidRDefault="00BC0F50" w:rsidP="000E66B6">
      <w:pPr>
        <w:pStyle w:val="JMEESymbolsandacronymslist"/>
      </w:pPr>
      <w:r w:rsidRPr="00F87C9C">
        <w:t>GWAS</w:t>
      </w:r>
      <w:r w:rsidR="00BA678C" w:rsidRPr="00F87C9C">
        <w:tab/>
        <w:t>–</w:t>
      </w:r>
      <w:r w:rsidR="00BA678C" w:rsidRPr="00F87C9C">
        <w:tab/>
      </w:r>
      <w:r w:rsidR="00E03A88" w:rsidRPr="00F87C9C">
        <w:t>Grinding Wheel Active Surface</w:t>
      </w:r>
    </w:p>
    <w:p w:rsidR="00BC0F50" w:rsidRPr="00F87C9C" w:rsidRDefault="00BC0F50" w:rsidP="000E66B6">
      <w:pPr>
        <w:pStyle w:val="JMEESymbolsandacronymslist"/>
      </w:pPr>
      <w:r w:rsidRPr="00F87C9C">
        <w:t>SCGC</w:t>
      </w:r>
      <w:r w:rsidRPr="00F87C9C">
        <w:tab/>
        <w:t>–</w:t>
      </w:r>
      <w:r w:rsidRPr="00F87C9C">
        <w:tab/>
      </w:r>
      <w:r w:rsidR="00C97271" w:rsidRPr="00F87C9C">
        <w:rPr>
          <w:lang w:eastAsia="pl-PL"/>
        </w:rPr>
        <w:t xml:space="preserve">Symmetrical </w:t>
      </w:r>
      <w:r w:rsidR="00E03A88" w:rsidRPr="00F87C9C">
        <w:t>Curve of Geometrical Contact</w:t>
      </w:r>
    </w:p>
    <w:p w:rsidR="00584FF3" w:rsidRPr="00F87C9C" w:rsidRDefault="00584FF3" w:rsidP="00BA678C">
      <w:pPr>
        <w:pStyle w:val="JMEEHeading3"/>
      </w:pPr>
      <w:r w:rsidRPr="00F87C9C">
        <w:t>References</w:t>
      </w:r>
    </w:p>
    <w:p w:rsidR="00E6729D" w:rsidRPr="00F87C9C" w:rsidRDefault="00E6729D" w:rsidP="000E66B6">
      <w:pPr>
        <w:pStyle w:val="JMEEBibliography"/>
      </w:pPr>
      <w:r w:rsidRPr="00F87C9C">
        <w:rPr>
          <w:lang w:val="pl-PL"/>
        </w:rPr>
        <w:t xml:space="preserve">Nakajima T., Okamura K., Uno Y. (1984). </w:t>
      </w:r>
      <w:r w:rsidRPr="00F87C9C">
        <w:t xml:space="preserve">Traverse grinding techniques for improving both productivity and surface finish. In: </w:t>
      </w:r>
      <w:r w:rsidRPr="00F87C9C">
        <w:rPr>
          <w:i/>
        </w:rPr>
        <w:t>SME</w:t>
      </w:r>
      <w:r w:rsidRPr="00F87C9C">
        <w:t xml:space="preserve"> </w:t>
      </w:r>
      <w:r w:rsidRPr="00F87C9C">
        <w:rPr>
          <w:i/>
        </w:rPr>
        <w:t>International Grinding Conference</w:t>
      </w:r>
      <w:r w:rsidRPr="00F87C9C">
        <w:t xml:space="preserve">, Fontana, WI, USA, </w:t>
      </w:r>
      <w:r w:rsidR="00816E21" w:rsidRPr="00F87C9C">
        <w:t>paper no. Mr 84-</w:t>
      </w:r>
      <w:r w:rsidRPr="00F87C9C">
        <w:t>534.</w:t>
      </w:r>
    </w:p>
    <w:p w:rsidR="005428F6" w:rsidRPr="00F87C9C" w:rsidRDefault="005428F6" w:rsidP="000E66B6">
      <w:pPr>
        <w:pStyle w:val="JMEEBibliography"/>
      </w:pPr>
      <w:r w:rsidRPr="00F87C9C">
        <w:t>Klocke F., Hegener G., Deacu L. (1996). Hochleistungs-</w:t>
      </w:r>
      <w:r w:rsidRPr="00F87C9C">
        <w:rPr>
          <w:spacing w:val="-4"/>
        </w:rPr>
        <w:t>Aussenrund-Formschleifen. Innovatives Fertigungsverfahren</w:t>
      </w:r>
      <w:r w:rsidRPr="00F87C9C">
        <w:t xml:space="preserve"> vereint hohe Flexibilität und Produktivität. </w:t>
      </w:r>
      <w:r w:rsidRPr="00F87C9C">
        <w:rPr>
          <w:i/>
        </w:rPr>
        <w:t>ZWF</w:t>
      </w:r>
      <w:r w:rsidRPr="00F87C9C">
        <w:t>, Vol. 91, No. 4, pp. 164</w:t>
      </w:r>
      <w:r w:rsidR="00816E21" w:rsidRPr="00F87C9C">
        <w:t>-</w:t>
      </w:r>
      <w:r w:rsidRPr="00F87C9C">
        <w:t>167.</w:t>
      </w:r>
      <w:r w:rsidR="00225EC2" w:rsidRPr="00F87C9C">
        <w:t xml:space="preserve"> (in </w:t>
      </w:r>
      <w:r w:rsidR="00816E21" w:rsidRPr="00F87C9C">
        <w:t>G</w:t>
      </w:r>
      <w:r w:rsidR="00225EC2" w:rsidRPr="00F87C9C">
        <w:t>erman)</w:t>
      </w:r>
    </w:p>
    <w:p w:rsidR="005428F6" w:rsidRPr="00F87C9C" w:rsidRDefault="009B5965" w:rsidP="000E66B6">
      <w:pPr>
        <w:pStyle w:val="JMEEBibliography"/>
      </w:pPr>
      <w:r w:rsidRPr="00F87C9C">
        <w:rPr>
          <w:noProof/>
          <w:lang w:val="pl-PL" w:eastAsia="pl-PL"/>
        </w:rPr>
        <w:drawing>
          <wp:anchor distT="0" distB="0" distL="114300" distR="114300" simplePos="0" relativeHeight="251662336" behindDoc="1" locked="0" layoutInCell="1" allowOverlap="1">
            <wp:simplePos x="0" y="0"/>
            <wp:positionH relativeFrom="column">
              <wp:posOffset>2696845</wp:posOffset>
            </wp:positionH>
            <wp:positionV relativeFrom="paragraph">
              <wp:posOffset>138430</wp:posOffset>
            </wp:positionV>
            <wp:extent cx="751840" cy="1050290"/>
            <wp:effectExtent l="19050" t="0" r="0" b="0"/>
            <wp:wrapTight wrapText="bothSides">
              <wp:wrapPolygon edited="0">
                <wp:start x="-547" y="0"/>
                <wp:lineTo x="-547" y="21156"/>
                <wp:lineTo x="21345" y="21156"/>
                <wp:lineTo x="21345" y="0"/>
                <wp:lineTo x="-547" y="0"/>
              </wp:wrapPolygon>
            </wp:wrapTight>
            <wp:docPr id="12" name="Obraz 1" descr="G:\Papers\04.Papers in Preparation\[097] Effect of Macro-geometry of the Grinding Wheel Active Surfac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pers\04.Papers in Preparation\[097] Effect of Macro-geometry of the Grinding Wheel Active Surface\A2.jpg"/>
                    <pic:cNvPicPr>
                      <a:picLocks noChangeAspect="1" noChangeArrowheads="1"/>
                    </pic:cNvPicPr>
                  </pic:nvPicPr>
                  <pic:blipFill>
                    <a:blip r:embed="rId32" cstate="print"/>
                    <a:srcRect/>
                    <a:stretch>
                      <a:fillRect/>
                    </a:stretch>
                  </pic:blipFill>
                  <pic:spPr bwMode="auto">
                    <a:xfrm>
                      <a:off x="0" y="0"/>
                      <a:ext cx="751840" cy="1050290"/>
                    </a:xfrm>
                    <a:prstGeom prst="rect">
                      <a:avLst/>
                    </a:prstGeom>
                    <a:noFill/>
                    <a:ln w="9525">
                      <a:noFill/>
                      <a:miter lim="800000"/>
                      <a:headEnd/>
                      <a:tailEnd/>
                    </a:ln>
                  </pic:spPr>
                </pic:pic>
              </a:graphicData>
            </a:graphic>
          </wp:anchor>
        </w:drawing>
      </w:r>
      <w:r w:rsidR="00FF5936" w:rsidRPr="00F87C9C">
        <w:t>Klocke F., Hegener G.</w:t>
      </w:r>
      <w:r w:rsidR="005428F6" w:rsidRPr="00F87C9C">
        <w:t xml:space="preserve"> (1999). Schnell, gut und flexibel: Hochleistungs-Aussenrund-Formschleifen. </w:t>
      </w:r>
      <w:r w:rsidR="005428F6" w:rsidRPr="00F87C9C">
        <w:rPr>
          <w:i/>
        </w:rPr>
        <w:t>IDR</w:t>
      </w:r>
      <w:r w:rsidR="005428F6" w:rsidRPr="00F87C9C">
        <w:t>, Vol. 33, No. 2, pp. 153</w:t>
      </w:r>
      <w:r w:rsidR="00816E21" w:rsidRPr="00F87C9C">
        <w:t>-</w:t>
      </w:r>
      <w:r w:rsidR="005428F6" w:rsidRPr="00F87C9C">
        <w:t>160.</w:t>
      </w:r>
      <w:r w:rsidR="00225EC2" w:rsidRPr="00F87C9C">
        <w:t xml:space="preserve"> (in </w:t>
      </w:r>
      <w:r w:rsidR="00816E21" w:rsidRPr="00F87C9C">
        <w:t>G</w:t>
      </w:r>
      <w:r w:rsidR="00225EC2" w:rsidRPr="00F87C9C">
        <w:t>erman)</w:t>
      </w:r>
    </w:p>
    <w:p w:rsidR="005428F6" w:rsidRPr="00F87C9C" w:rsidRDefault="00FF5936" w:rsidP="000E66B6">
      <w:pPr>
        <w:pStyle w:val="JMEEBibliography"/>
      </w:pPr>
      <w:r w:rsidRPr="00F87C9C">
        <w:t>Xingas A.</w:t>
      </w:r>
      <w:r w:rsidR="005428F6" w:rsidRPr="00F87C9C">
        <w:t xml:space="preserve"> (1999). Next generation grinding. </w:t>
      </w:r>
      <w:r w:rsidR="005428F6" w:rsidRPr="00F87C9C">
        <w:rPr>
          <w:i/>
        </w:rPr>
        <w:t>American Mechanist</w:t>
      </w:r>
      <w:r w:rsidR="005428F6" w:rsidRPr="00F87C9C">
        <w:t>, Vol. 143, No. 9, pp. 58, 64.</w:t>
      </w:r>
    </w:p>
    <w:p w:rsidR="005428F6" w:rsidRPr="00F87C9C" w:rsidRDefault="00FF5936" w:rsidP="000E66B6">
      <w:pPr>
        <w:pStyle w:val="JMEEBibliography"/>
      </w:pPr>
      <w:r w:rsidRPr="00F87C9C">
        <w:t>Hegener G.</w:t>
      </w:r>
      <w:r w:rsidR="005428F6" w:rsidRPr="00F87C9C">
        <w:t xml:space="preserve"> (2000). In einem Zug geschliffen. Wellenförmige Werkstücke flexibel und mit hoher Leistung schleiftechnisch bearbeiten. </w:t>
      </w:r>
      <w:r w:rsidR="005428F6" w:rsidRPr="00F87C9C">
        <w:rPr>
          <w:i/>
        </w:rPr>
        <w:t>Maschinenmarkt</w:t>
      </w:r>
      <w:r w:rsidR="005428F6" w:rsidRPr="00F87C9C">
        <w:t>, Vol. 106, No. 16, pp. 38</w:t>
      </w:r>
      <w:r w:rsidR="00816E21" w:rsidRPr="00F87C9C">
        <w:t>-</w:t>
      </w:r>
      <w:r w:rsidR="005428F6" w:rsidRPr="00F87C9C">
        <w:t>43.</w:t>
      </w:r>
      <w:r w:rsidR="00225EC2" w:rsidRPr="00F87C9C">
        <w:t xml:space="preserve"> (in </w:t>
      </w:r>
      <w:r w:rsidR="00431202" w:rsidRPr="00F87C9C">
        <w:t>G</w:t>
      </w:r>
      <w:r w:rsidR="00225EC2" w:rsidRPr="00F87C9C">
        <w:t>erman)</w:t>
      </w:r>
    </w:p>
    <w:p w:rsidR="005428F6" w:rsidRPr="00F87C9C" w:rsidRDefault="00FF5936" w:rsidP="000E66B6">
      <w:pPr>
        <w:pStyle w:val="JMEEBibliography"/>
      </w:pPr>
      <w:r w:rsidRPr="00F87C9C">
        <w:t>Weinert K., Finke M., Kötter D.</w:t>
      </w:r>
      <w:r w:rsidR="005428F6" w:rsidRPr="00F87C9C">
        <w:t xml:space="preserve"> (2003). Wirtschaftliche Alternative zum Hartdrehen. Innenrund-Schälschleifen steigert Flexibilität beim Schleifen von Futterteilen. </w:t>
      </w:r>
      <w:r w:rsidR="005428F6" w:rsidRPr="00F87C9C">
        <w:rPr>
          <w:i/>
        </w:rPr>
        <w:t>Maschinenmarkt,</w:t>
      </w:r>
      <w:r w:rsidR="005428F6" w:rsidRPr="00F87C9C">
        <w:t xml:space="preserve"> 2003, Vol. 109, No. 48, pp. 44</w:t>
      </w:r>
      <w:r w:rsidR="00816E21" w:rsidRPr="00F87C9C">
        <w:t>-</w:t>
      </w:r>
      <w:r w:rsidR="005428F6" w:rsidRPr="00F87C9C">
        <w:t>47.</w:t>
      </w:r>
      <w:r w:rsidR="00816E21" w:rsidRPr="00F87C9C">
        <w:t xml:space="preserve"> (in G</w:t>
      </w:r>
      <w:r w:rsidR="00225EC2" w:rsidRPr="00F87C9C">
        <w:t>erman)</w:t>
      </w:r>
    </w:p>
    <w:p w:rsidR="005428F6" w:rsidRPr="00F87C9C" w:rsidRDefault="00FF5936" w:rsidP="000E66B6">
      <w:pPr>
        <w:pStyle w:val="JMEEBibliography"/>
      </w:pPr>
      <w:r w:rsidRPr="00F87C9C">
        <w:t>Lüetjens P., Mushardt H.</w:t>
      </w:r>
      <w:r w:rsidR="005428F6" w:rsidRPr="00F87C9C">
        <w:t xml:space="preserve"> (2004). Grinding out hardened parts. </w:t>
      </w:r>
      <w:r w:rsidR="005428F6" w:rsidRPr="00F87C9C">
        <w:rPr>
          <w:i/>
        </w:rPr>
        <w:t>American Mechanist</w:t>
      </w:r>
      <w:r w:rsidR="005428F6" w:rsidRPr="00F87C9C">
        <w:t>, Vol. 148, No. 3, pp. 52</w:t>
      </w:r>
      <w:r w:rsidRPr="00F87C9C">
        <w:t>–</w:t>
      </w:r>
      <w:r w:rsidR="005428F6" w:rsidRPr="00F87C9C">
        <w:t>59.</w:t>
      </w:r>
    </w:p>
    <w:p w:rsidR="005428F6" w:rsidRPr="00F87C9C" w:rsidRDefault="00FF5936" w:rsidP="000E66B6">
      <w:pPr>
        <w:pStyle w:val="JMEEBibliography"/>
      </w:pPr>
      <w:r w:rsidRPr="00F87C9C">
        <w:t>Webster J., Tricard M.</w:t>
      </w:r>
      <w:r w:rsidR="005428F6" w:rsidRPr="00F87C9C">
        <w:t xml:space="preserve"> (2004). Innovations in abrasive products for precision grinding. </w:t>
      </w:r>
      <w:r w:rsidR="005428F6" w:rsidRPr="00F87C9C">
        <w:rPr>
          <w:i/>
        </w:rPr>
        <w:t>Annals of the CIRP,</w:t>
      </w:r>
      <w:r w:rsidR="005428F6" w:rsidRPr="00F87C9C">
        <w:t xml:space="preserve"> Vol. 53, No. 2, pp. 597</w:t>
      </w:r>
      <w:r w:rsidR="00816E21" w:rsidRPr="00F87C9C">
        <w:t>-</w:t>
      </w:r>
      <w:r w:rsidR="005428F6" w:rsidRPr="00F87C9C">
        <w:t>617.</w:t>
      </w:r>
    </w:p>
    <w:p w:rsidR="005428F6" w:rsidRPr="00F87C9C" w:rsidRDefault="00FF5936" w:rsidP="000E66B6">
      <w:pPr>
        <w:pStyle w:val="JMEEBibliography"/>
      </w:pPr>
      <w:r w:rsidRPr="00F87C9C">
        <w:t>Nadolny K.</w:t>
      </w:r>
      <w:r w:rsidR="005428F6" w:rsidRPr="00F87C9C">
        <w:t xml:space="preserve"> (2013). A review on single-pass grinding processes. </w:t>
      </w:r>
      <w:r w:rsidR="005428F6" w:rsidRPr="00F87C9C">
        <w:rPr>
          <w:i/>
        </w:rPr>
        <w:t xml:space="preserve">Journal of Central South University of Technology, </w:t>
      </w:r>
      <w:r w:rsidR="005428F6" w:rsidRPr="00F87C9C">
        <w:t>Vol. 20, No. 6, pp. 1502</w:t>
      </w:r>
      <w:r w:rsidR="00816E21" w:rsidRPr="00F87C9C">
        <w:t>-</w:t>
      </w:r>
      <w:r w:rsidR="005428F6" w:rsidRPr="00F87C9C">
        <w:t>1509</w:t>
      </w:r>
      <w:r w:rsidRPr="00F87C9C">
        <w:t>.</w:t>
      </w:r>
    </w:p>
    <w:p w:rsidR="005428F6" w:rsidRPr="00F87C9C" w:rsidRDefault="00FF5936" w:rsidP="000E66B6">
      <w:pPr>
        <w:pStyle w:val="JMEEBibliography"/>
      </w:pPr>
      <w:bookmarkStart w:id="3" w:name="OLE_LINK1"/>
      <w:bookmarkStart w:id="4" w:name="OLE_LINK2"/>
      <w:r w:rsidRPr="00F87C9C">
        <w:t>Słowinski B., Nadolny K.</w:t>
      </w:r>
      <w:r w:rsidR="005428F6" w:rsidRPr="00F87C9C">
        <w:t xml:space="preserve"> (2007). Effective manufacturing method for automated diameter grinding. </w:t>
      </w:r>
      <w:r w:rsidR="005428F6" w:rsidRPr="00F87C9C">
        <w:rPr>
          <w:i/>
        </w:rPr>
        <w:t>Journal of Advanced Mechanical Design, Systems, and Manufacturing,</w:t>
      </w:r>
      <w:r w:rsidR="005428F6" w:rsidRPr="00F87C9C">
        <w:t xml:space="preserve"> Vol. 1, No. 4, pp. 472</w:t>
      </w:r>
      <w:r w:rsidR="00816E21" w:rsidRPr="00F87C9C">
        <w:t>-</w:t>
      </w:r>
      <w:r w:rsidR="005428F6" w:rsidRPr="00F87C9C">
        <w:t>480.</w:t>
      </w:r>
    </w:p>
    <w:p w:rsidR="00E6729D" w:rsidRPr="00F87C9C" w:rsidRDefault="009B5965" w:rsidP="000E66B6">
      <w:pPr>
        <w:pStyle w:val="JMEEBibliography"/>
      </w:pPr>
      <w:r w:rsidRPr="00F87C9C">
        <w:rPr>
          <w:noProof/>
          <w:lang w:val="pl-PL" w:eastAsia="pl-PL"/>
        </w:rPr>
        <w:drawing>
          <wp:anchor distT="0" distB="0" distL="114300" distR="114300" simplePos="0" relativeHeight="251663360" behindDoc="1" locked="0" layoutInCell="1" allowOverlap="1">
            <wp:simplePos x="0" y="0"/>
            <wp:positionH relativeFrom="column">
              <wp:posOffset>2717165</wp:posOffset>
            </wp:positionH>
            <wp:positionV relativeFrom="paragraph">
              <wp:posOffset>205740</wp:posOffset>
            </wp:positionV>
            <wp:extent cx="751840" cy="1050290"/>
            <wp:effectExtent l="19050" t="0" r="0" b="0"/>
            <wp:wrapTight wrapText="bothSides">
              <wp:wrapPolygon edited="0">
                <wp:start x="-547" y="0"/>
                <wp:lineTo x="-547" y="21156"/>
                <wp:lineTo x="21345" y="21156"/>
                <wp:lineTo x="21345" y="0"/>
                <wp:lineTo x="-547" y="0"/>
              </wp:wrapPolygon>
            </wp:wrapTight>
            <wp:docPr id="27" name="Obraz 4" descr="G:\Papers\04.Papers in Preparation\[097] Effect of Macro-geometry of the Grinding Wheel Active Surface\N. Ungure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pers\04.Papers in Preparation\[097] Effect of Macro-geometry of the Grinding Wheel Active Surface\N. Ungureanu.jpg"/>
                    <pic:cNvPicPr>
                      <a:picLocks noChangeAspect="1" noChangeArrowheads="1"/>
                    </pic:cNvPicPr>
                  </pic:nvPicPr>
                  <pic:blipFill>
                    <a:blip r:embed="rId33" cstate="print"/>
                    <a:srcRect/>
                    <a:stretch>
                      <a:fillRect/>
                    </a:stretch>
                  </pic:blipFill>
                  <pic:spPr bwMode="auto">
                    <a:xfrm>
                      <a:off x="0" y="0"/>
                      <a:ext cx="751840" cy="1050290"/>
                    </a:xfrm>
                    <a:prstGeom prst="rect">
                      <a:avLst/>
                    </a:prstGeom>
                    <a:noFill/>
                    <a:ln w="9525">
                      <a:noFill/>
                      <a:miter lim="800000"/>
                      <a:headEnd/>
                      <a:tailEnd/>
                    </a:ln>
                  </pic:spPr>
                </pic:pic>
              </a:graphicData>
            </a:graphic>
          </wp:anchor>
        </w:drawing>
      </w:r>
      <w:r w:rsidR="00E6729D" w:rsidRPr="00F87C9C">
        <w:t xml:space="preserve">Nadolny K., Plichta J. (2006). Possibilities of development in the single-pass internal cylindrical grinding. In: IEEE 19th International Conference on Systems Engineering </w:t>
      </w:r>
      <w:r w:rsidR="00E6729D" w:rsidRPr="00F87C9C">
        <w:rPr>
          <w:szCs w:val="13"/>
          <w:shd w:val="clear" w:color="auto" w:fill="FFFFFF"/>
        </w:rPr>
        <w:t>ICSENG'08</w:t>
      </w:r>
      <w:r w:rsidR="00E6729D" w:rsidRPr="00F87C9C">
        <w:rPr>
          <w:shd w:val="clear" w:color="auto" w:fill="FFFFFF"/>
        </w:rPr>
        <w:t>,</w:t>
      </w:r>
      <w:r w:rsidR="00E6729D" w:rsidRPr="00F87C9C">
        <w:t xml:space="preserve"> Las Vegas, NV, USA, </w:t>
      </w:r>
      <w:r w:rsidR="00E6729D" w:rsidRPr="00F87C9C">
        <w:rPr>
          <w:szCs w:val="14"/>
          <w:shd w:val="clear" w:color="auto" w:fill="FFFFFF"/>
        </w:rPr>
        <w:t>19</w:t>
      </w:r>
      <w:r w:rsidR="00F87C9C" w:rsidRPr="00F87C9C">
        <w:rPr>
          <w:szCs w:val="14"/>
          <w:shd w:val="clear" w:color="auto" w:fill="FFFFFF"/>
        </w:rPr>
        <w:t>-</w:t>
      </w:r>
      <w:r w:rsidR="00E6729D" w:rsidRPr="00F87C9C">
        <w:rPr>
          <w:szCs w:val="14"/>
          <w:shd w:val="clear" w:color="auto" w:fill="FFFFFF"/>
        </w:rPr>
        <w:t xml:space="preserve">21 August, </w:t>
      </w:r>
      <w:r w:rsidR="00E6729D" w:rsidRPr="00F87C9C">
        <w:t>paper no. ICSEng.2008.93</w:t>
      </w:r>
      <w:r w:rsidR="00E6729D" w:rsidRPr="00F87C9C">
        <w:rPr>
          <w:shd w:val="clear" w:color="auto" w:fill="FFFFFF"/>
        </w:rPr>
        <w:t>,</w:t>
      </w:r>
      <w:r w:rsidR="00E6729D" w:rsidRPr="00F87C9C">
        <w:t xml:space="preserve"> pp. 230</w:t>
      </w:r>
      <w:r w:rsidR="00816E21" w:rsidRPr="00F87C9C">
        <w:t>-</w:t>
      </w:r>
      <w:r w:rsidR="00E6729D" w:rsidRPr="00F87C9C">
        <w:t>235.</w:t>
      </w:r>
    </w:p>
    <w:p w:rsidR="005428F6" w:rsidRPr="00F87C9C" w:rsidRDefault="005428F6" w:rsidP="000E66B6">
      <w:pPr>
        <w:pStyle w:val="JMEEBibliography"/>
      </w:pPr>
      <w:r w:rsidRPr="00F87C9C">
        <w:t>He</w:t>
      </w:r>
      <w:r w:rsidR="00FF5936" w:rsidRPr="00F87C9C">
        <w:t>rman D., Plichta J., Nadolny K.</w:t>
      </w:r>
      <w:r w:rsidRPr="00F87C9C">
        <w:t xml:space="preserve"> (2006). </w:t>
      </w:r>
      <w:bookmarkEnd w:id="3"/>
      <w:bookmarkEnd w:id="4"/>
      <w:r w:rsidRPr="00F87C9C">
        <w:t xml:space="preserve">New ceramic abrasive tools for rough and finishing grinding in one pass. </w:t>
      </w:r>
      <w:r w:rsidRPr="00F87C9C">
        <w:rPr>
          <w:i/>
        </w:rPr>
        <w:t>Materials Science Forum</w:t>
      </w:r>
      <w:r w:rsidRPr="00F87C9C">
        <w:t>, Vol. 526, pp. 163</w:t>
      </w:r>
      <w:r w:rsidR="00FF5936" w:rsidRPr="00F87C9C">
        <w:t>–</w:t>
      </w:r>
      <w:r w:rsidRPr="00F87C9C">
        <w:t>168.</w:t>
      </w:r>
    </w:p>
    <w:p w:rsidR="00F0627E" w:rsidRPr="00F87C9C" w:rsidRDefault="00FF5936" w:rsidP="000E66B6">
      <w:pPr>
        <w:pStyle w:val="JMEEBibliography"/>
      </w:pPr>
      <w:r w:rsidRPr="00F87C9C">
        <w:t>Nadolny K., Kaplonek W.</w:t>
      </w:r>
      <w:r w:rsidR="005428F6" w:rsidRPr="00F87C9C">
        <w:t xml:space="preserve"> (2012). Design of a device for precision shaping of the grinding wheel macro- and microgeometry. </w:t>
      </w:r>
      <w:r w:rsidR="005428F6" w:rsidRPr="00F87C9C">
        <w:rPr>
          <w:i/>
        </w:rPr>
        <w:t>Journal of Central South University of Technology,</w:t>
      </w:r>
      <w:r w:rsidR="005428F6" w:rsidRPr="00F87C9C">
        <w:t xml:space="preserve"> Vol. 19, No. 1, pp. 135</w:t>
      </w:r>
      <w:r w:rsidR="00816E21" w:rsidRPr="00F87C9C">
        <w:t>-</w:t>
      </w:r>
      <w:r w:rsidR="005428F6" w:rsidRPr="00F87C9C">
        <w:t>143.</w:t>
      </w:r>
    </w:p>
    <w:p w:rsidR="005428F6" w:rsidRPr="00F87C9C" w:rsidRDefault="00FF5936" w:rsidP="00431202">
      <w:pPr>
        <w:pStyle w:val="JMEEBibliography"/>
      </w:pPr>
      <w:r w:rsidRPr="00F87C9C">
        <w:t>Nadolny K.</w:t>
      </w:r>
      <w:r w:rsidR="005428F6" w:rsidRPr="00F87C9C">
        <w:t xml:space="preserve"> (2013). Microdiscontinuities of the grinding wheel and their effects on its durability during internal cylindrical grinding. </w:t>
      </w:r>
      <w:r w:rsidR="005428F6" w:rsidRPr="00F87C9C">
        <w:rPr>
          <w:i/>
        </w:rPr>
        <w:t xml:space="preserve">Machining Science and Technology, </w:t>
      </w:r>
      <w:r w:rsidR="005428F6" w:rsidRPr="00F87C9C">
        <w:t>Vol. 17, No. 1, pp. 74</w:t>
      </w:r>
      <w:r w:rsidR="00816E21" w:rsidRPr="00F87C9C">
        <w:t>-</w:t>
      </w:r>
      <w:r w:rsidR="005428F6" w:rsidRPr="00F87C9C">
        <w:t>92.</w:t>
      </w:r>
    </w:p>
    <w:p w:rsidR="005428F6" w:rsidRPr="00F87C9C" w:rsidRDefault="00FF5936" w:rsidP="000E66B6">
      <w:pPr>
        <w:pStyle w:val="JMEEBibliography"/>
      </w:pPr>
      <w:r w:rsidRPr="00F87C9C">
        <w:t>Kaczmarek J.</w:t>
      </w:r>
      <w:r w:rsidR="005428F6" w:rsidRPr="00F87C9C">
        <w:t xml:space="preserve"> (1999). New approach of the chara</w:t>
      </w:r>
      <w:r w:rsidRPr="00F87C9C">
        <w:t>-</w:t>
      </w:r>
      <w:r w:rsidR="005428F6" w:rsidRPr="00F87C9C">
        <w:t xml:space="preserve">cteristics of surface microstereometry on the basis of facing. </w:t>
      </w:r>
      <w:r w:rsidR="005428F6" w:rsidRPr="00F87C9C">
        <w:rPr>
          <w:i/>
        </w:rPr>
        <w:t>Advances in Manufacturing Science and Techno</w:t>
      </w:r>
      <w:r w:rsidRPr="00F87C9C">
        <w:rPr>
          <w:i/>
        </w:rPr>
        <w:t>-</w:t>
      </w:r>
      <w:r w:rsidR="005428F6" w:rsidRPr="00F87C9C">
        <w:rPr>
          <w:i/>
        </w:rPr>
        <w:t>logy</w:t>
      </w:r>
      <w:r w:rsidRPr="00F87C9C">
        <w:rPr>
          <w:i/>
        </w:rPr>
        <w:t>,</w:t>
      </w:r>
      <w:r w:rsidR="005428F6" w:rsidRPr="00F87C9C">
        <w:t xml:space="preserve"> Vol. 23, No. 4, pp. 55</w:t>
      </w:r>
      <w:r w:rsidR="00816E21" w:rsidRPr="00F87C9C">
        <w:t>-</w:t>
      </w:r>
      <w:r w:rsidR="005428F6" w:rsidRPr="00F87C9C">
        <w:t>70.</w:t>
      </w:r>
    </w:p>
    <w:p w:rsidR="00584FF3" w:rsidRPr="00F87C9C" w:rsidRDefault="00584FF3" w:rsidP="00BA678C">
      <w:pPr>
        <w:pStyle w:val="JMEEHeading3"/>
      </w:pPr>
      <w:r w:rsidRPr="00F87C9C">
        <w:lastRenderedPageBreak/>
        <w:t>Biographical note</w:t>
      </w:r>
      <w:r w:rsidR="00BA678C" w:rsidRPr="00F87C9C">
        <w:t>s</w:t>
      </w:r>
    </w:p>
    <w:p w:rsidR="00B2286E" w:rsidRPr="00F87C9C" w:rsidRDefault="00816E21" w:rsidP="009B5965">
      <w:pPr>
        <w:pStyle w:val="JMEEBiographicalnote"/>
      </w:pPr>
      <w:r w:rsidRPr="00F87C9C">
        <w:rPr>
          <w:b/>
        </w:rPr>
        <w:t xml:space="preserve">Krzysztof Nadolny </w:t>
      </w:r>
      <w:r w:rsidRPr="00F87C9C">
        <w:t>received his M.Sc. degree in Mechanics and Machine Design and next Ph.D (with honors) as well as D.Sc. degree in Machinery Construction and Operation from Koszalin University of Technology, in 2001, 2006 and 2013, respectively. Since 2006 he has been a researcher in the Department of Production Engineering at the Koszalin University of Technology, where currently he works as an associated professor and head of research-didactic team for production planning and control. His scientific interests focus on problems concerning machining processes and tools, efficiency, monitoring and diagnostics of machining processes as well as tribology. He has participated in 2 international and 3 national research projects, presenting results of his work at 10 international and 21 national conferences, published more than 180 scientific papers in international and national journals, book chapters, as well as conference proceedings. He is also the author of 4 monographs and 9 national patents.</w:t>
      </w:r>
    </w:p>
    <w:p w:rsidR="00B2286E" w:rsidRPr="00F87C9C" w:rsidRDefault="00B2286E" w:rsidP="009B5965">
      <w:pPr>
        <w:pStyle w:val="JMEEBiographicalnote"/>
      </w:pPr>
      <w:r w:rsidRPr="00F87C9C">
        <w:rPr>
          <w:b/>
        </w:rPr>
        <w:t>Wojciech Kapłonek</w:t>
      </w:r>
      <w:r w:rsidRPr="00F87C9C">
        <w:t xml:space="preserve"> received his M.Sc. degree in Mechanics and Machine </w:t>
      </w:r>
      <w:r w:rsidRPr="00F87C9C">
        <w:rPr>
          <w:spacing w:val="-2"/>
        </w:rPr>
        <w:t>Design (specialization: Computer Appli</w:t>
      </w:r>
      <w:r w:rsidRPr="00F87C9C">
        <w:t>cations in Engineering) and Ph.D degree (with honors) in Machinery Construction and Operation (speciali</w:t>
      </w:r>
      <w:r w:rsidR="00DF5D58" w:rsidRPr="00F87C9C">
        <w:t>sa-</w:t>
      </w:r>
      <w:r w:rsidRPr="00F87C9C">
        <w:t xml:space="preserve">tion: Technical Metrology) from Koszalin University of Technology, in 2003 and  2010, respectively. Since 2007 he has been a researcher </w:t>
      </w:r>
      <w:r w:rsidR="00F0627E" w:rsidRPr="00F87C9C">
        <w:t xml:space="preserve">in the Department of Production Engineering </w:t>
      </w:r>
      <w:r w:rsidRPr="00F87C9C">
        <w:t xml:space="preserve">at the Koszalin University of Technology, where currently he works as an assistant professor. He has participated in 2 international and 3 national research projects, as well as presenting results from his work at </w:t>
      </w:r>
      <w:r w:rsidR="00E03A88" w:rsidRPr="00F87C9C">
        <w:t>6</w:t>
      </w:r>
      <w:r w:rsidRPr="00F87C9C">
        <w:t xml:space="preserve"> international and 2</w:t>
      </w:r>
      <w:r w:rsidR="00E03A88" w:rsidRPr="00F87C9C">
        <w:t>8</w:t>
      </w:r>
      <w:r w:rsidRPr="00F87C9C">
        <w:t xml:space="preserve"> national conferences. His scientific interests focus on problems concerning 2D-3D measurements of surface roughness using optical methods (especially those, which utilise light scattering phenomenon), SEM and confocal microscopy, machine vision systems, as well as image processing and analysis techniques. He has published more than </w:t>
      </w:r>
      <w:r w:rsidR="00E03A88" w:rsidRPr="00F87C9C">
        <w:t>120</w:t>
      </w:r>
      <w:r w:rsidRPr="00F87C9C">
        <w:t xml:space="preserve"> scientific papers in various international and national journals, book chapters, and conference proceedings.</w:t>
      </w:r>
    </w:p>
    <w:p w:rsidR="00B464BC" w:rsidRPr="00F87C9C" w:rsidRDefault="00F0627E" w:rsidP="009B5965">
      <w:pPr>
        <w:pStyle w:val="JMEEBiographicalnote"/>
      </w:pPr>
      <w:r w:rsidRPr="00F87C9C">
        <w:rPr>
          <w:b/>
        </w:rPr>
        <w:t>Nicolae Ungureanu</w:t>
      </w:r>
      <w:r w:rsidRPr="00F87C9C">
        <w:t xml:space="preserve"> received his MSc in Mechanical Engineering (specialisa-tion: mining machines and equipments) from Faculty of Mining Machines, Mining Institute of Petrosani in 1989, PhD from Technical University of Cluj Napoca in 1999 and Professor degree from North University of Baia Mare in 2004. Since 1994, after the work in SC SIMATEC SA, has been a Researcher for the Department of Engineering and Technology Management, North University of Baia Mare, where currently he works as a Professor and Dean of the Faculty of Engineering. His scientific interest are focused on issues related with reliability and maintenance of systems.</w:t>
      </w:r>
    </w:p>
    <w:sectPr w:rsidR="00B464BC" w:rsidRPr="00F87C9C" w:rsidSect="00D91F2B">
      <w:type w:val="continuous"/>
      <w:pgSz w:w="10773" w:h="15422" w:code="9"/>
      <w:pgMar w:top="1134" w:right="1134" w:bottom="1134" w:left="1134" w:header="567" w:footer="567" w:gutter="284"/>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848" w:rsidRDefault="002F4848" w:rsidP="004A1D57">
      <w:pPr>
        <w:spacing w:after="0"/>
      </w:pPr>
      <w:r>
        <w:separator/>
      </w:r>
    </w:p>
  </w:endnote>
  <w:endnote w:type="continuationSeparator" w:id="0">
    <w:p w:rsidR="002F4848" w:rsidRDefault="002F4848" w:rsidP="004A1D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FE" w:rsidRDefault="009E05FE">
    <w:pPr>
      <w:pStyle w:val="Stopka"/>
      <w:jc w:val="right"/>
    </w:pPr>
  </w:p>
  <w:p w:rsidR="009E05FE" w:rsidRDefault="009E05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848" w:rsidRDefault="002F4848" w:rsidP="004A1D57">
      <w:pPr>
        <w:spacing w:after="0"/>
      </w:pPr>
      <w:r>
        <w:separator/>
      </w:r>
    </w:p>
  </w:footnote>
  <w:footnote w:type="continuationSeparator" w:id="0">
    <w:p w:rsidR="002F4848" w:rsidRDefault="002F4848" w:rsidP="004A1D5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14F" w:rsidRPr="00816E21" w:rsidRDefault="002F4848" w:rsidP="00D91F2B">
    <w:pPr>
      <w:pStyle w:val="Stopka"/>
      <w:tabs>
        <w:tab w:val="clear" w:pos="4536"/>
        <w:tab w:val="clear" w:pos="9072"/>
        <w:tab w:val="center" w:pos="4111"/>
        <w:tab w:val="right" w:pos="8222"/>
      </w:tabs>
      <w:ind w:firstLine="0"/>
      <w:jc w:val="right"/>
      <w:rPr>
        <w:sz w:val="14"/>
        <w:szCs w:val="14"/>
        <w:lang w:val="en-US"/>
      </w:rPr>
    </w:pPr>
    <w:sdt>
      <w:sdtPr>
        <w:rPr>
          <w:sz w:val="14"/>
          <w:szCs w:val="14"/>
        </w:rPr>
        <w:id w:val="349981473"/>
        <w:docPartObj>
          <w:docPartGallery w:val="Page Numbers (Bottom of Page)"/>
          <w:docPartUnique/>
        </w:docPartObj>
      </w:sdtPr>
      <w:sdtEndPr/>
      <w:sdtContent>
        <w:r w:rsidR="00696B57" w:rsidRPr="00816E21">
          <w:rPr>
            <w:sz w:val="14"/>
            <w:szCs w:val="14"/>
          </w:rPr>
          <w:fldChar w:fldCharType="begin"/>
        </w:r>
        <w:r w:rsidR="00D91F2B" w:rsidRPr="00816E21">
          <w:rPr>
            <w:sz w:val="14"/>
            <w:szCs w:val="14"/>
            <w:lang w:val="en-US"/>
          </w:rPr>
          <w:instrText xml:space="preserve"> PAGE   \* MERGEFORMAT </w:instrText>
        </w:r>
        <w:r w:rsidR="00696B57" w:rsidRPr="00816E21">
          <w:rPr>
            <w:sz w:val="14"/>
            <w:szCs w:val="14"/>
          </w:rPr>
          <w:fldChar w:fldCharType="separate"/>
        </w:r>
        <w:r w:rsidR="00B20A5C">
          <w:rPr>
            <w:noProof/>
            <w:sz w:val="14"/>
            <w:szCs w:val="14"/>
            <w:lang w:val="en-US"/>
          </w:rPr>
          <w:t>8</w:t>
        </w:r>
        <w:r w:rsidR="00696B57" w:rsidRPr="00816E21">
          <w:rPr>
            <w:sz w:val="14"/>
            <w:szCs w:val="14"/>
          </w:rPr>
          <w:fldChar w:fldCharType="end"/>
        </w:r>
      </w:sdtContent>
    </w:sdt>
    <w:r w:rsidR="009B714F" w:rsidRPr="00816E21">
      <w:rPr>
        <w:sz w:val="14"/>
        <w:szCs w:val="14"/>
        <w:lang w:val="en-US"/>
      </w:rPr>
      <w:tab/>
    </w:r>
    <w:r w:rsidR="000E69BD" w:rsidRPr="00816E21">
      <w:rPr>
        <w:sz w:val="14"/>
        <w:szCs w:val="14"/>
        <w:lang w:val="en-US"/>
      </w:rPr>
      <w:t>Nadolny</w:t>
    </w:r>
    <w:r w:rsidR="009331D1" w:rsidRPr="00816E21">
      <w:rPr>
        <w:sz w:val="14"/>
        <w:szCs w:val="14"/>
        <w:lang w:val="en-US"/>
      </w:rPr>
      <w:t xml:space="preserve"> K.</w:t>
    </w:r>
    <w:r w:rsidR="009B714F" w:rsidRPr="00816E21">
      <w:rPr>
        <w:sz w:val="14"/>
        <w:szCs w:val="14"/>
        <w:lang w:val="en-US"/>
      </w:rPr>
      <w:t xml:space="preserve">, </w:t>
    </w:r>
    <w:r w:rsidR="000E69BD" w:rsidRPr="00816E21">
      <w:rPr>
        <w:sz w:val="14"/>
        <w:szCs w:val="14"/>
        <w:lang w:val="en-US"/>
      </w:rPr>
      <w:t>Kapłonek</w:t>
    </w:r>
    <w:r w:rsidR="009331D1" w:rsidRPr="00816E21">
      <w:rPr>
        <w:sz w:val="14"/>
        <w:szCs w:val="14"/>
        <w:lang w:val="en-US"/>
      </w:rPr>
      <w:t xml:space="preserve"> W.</w:t>
    </w:r>
    <w:r w:rsidR="000E69BD" w:rsidRPr="00816E21">
      <w:rPr>
        <w:sz w:val="14"/>
        <w:szCs w:val="14"/>
        <w:lang w:val="en-US"/>
      </w:rPr>
      <w:t>, Ungureanu</w:t>
    </w:r>
    <w:r w:rsidR="006F0FAA">
      <w:rPr>
        <w:sz w:val="14"/>
        <w:szCs w:val="14"/>
        <w:lang w:val="en-US"/>
      </w:rPr>
      <w:t xml:space="preserve"> N. </w:t>
    </w:r>
    <w:r w:rsidR="009B714F" w:rsidRPr="00816E21">
      <w:rPr>
        <w:sz w:val="14"/>
        <w:szCs w:val="14"/>
        <w:lang w:val="en-US"/>
      </w:rPr>
      <w:t xml:space="preserve">| </w:t>
    </w:r>
    <w:r w:rsidR="009B714F" w:rsidRPr="00816E21">
      <w:rPr>
        <w:i/>
        <w:sz w:val="14"/>
        <w:szCs w:val="14"/>
        <w:lang w:val="en-US"/>
      </w:rPr>
      <w:t>Journal of Mechanical and Energy Engineering</w:t>
    </w:r>
    <w:r w:rsidR="009B714F" w:rsidRPr="00816E21">
      <w:rPr>
        <w:sz w:val="14"/>
        <w:szCs w:val="14"/>
        <w:lang w:val="en-US"/>
      </w:rPr>
      <w:t xml:space="preserve">, Vol. </w:t>
    </w:r>
    <w:r w:rsidR="00863A1A" w:rsidRPr="00816E21">
      <w:rPr>
        <w:sz w:val="14"/>
        <w:szCs w:val="14"/>
        <w:lang w:val="en-US"/>
      </w:rPr>
      <w:t>1</w:t>
    </w:r>
    <w:r w:rsidR="009B714F" w:rsidRPr="00816E21">
      <w:rPr>
        <w:sz w:val="14"/>
        <w:szCs w:val="14"/>
        <w:lang w:val="en-US"/>
      </w:rPr>
      <w:t xml:space="preserve">, No. </w:t>
    </w:r>
    <w:r w:rsidR="00863A1A" w:rsidRPr="00816E21">
      <w:rPr>
        <w:sz w:val="14"/>
        <w:szCs w:val="14"/>
        <w:lang w:val="en-US"/>
      </w:rPr>
      <w:t>1</w:t>
    </w:r>
    <w:r w:rsidR="009B714F" w:rsidRPr="00816E21">
      <w:rPr>
        <w:sz w:val="14"/>
        <w:szCs w:val="14"/>
        <w:lang w:val="en-US"/>
      </w:rPr>
      <w:t>,</w:t>
    </w:r>
    <w:r w:rsidR="006F0FAA">
      <w:rPr>
        <w:sz w:val="14"/>
        <w:szCs w:val="14"/>
        <w:lang w:val="en-US"/>
      </w:rPr>
      <w:t xml:space="preserve">2017, </w:t>
    </w:r>
    <w:r w:rsidR="009B714F" w:rsidRPr="00816E21">
      <w:rPr>
        <w:sz w:val="14"/>
        <w:szCs w:val="14"/>
        <w:lang w:val="en-US"/>
      </w:rPr>
      <w:t xml:space="preserve">pp. </w:t>
    </w:r>
    <w:r w:rsidR="009331D1" w:rsidRPr="00816E21">
      <w:rPr>
        <w:sz w:val="14"/>
        <w:szCs w:val="14"/>
        <w:lang w:val="en-US"/>
      </w:rPr>
      <w:t>1</w:t>
    </w:r>
    <w:r w:rsidR="00816E21" w:rsidRPr="00816E21">
      <w:rPr>
        <w:sz w:val="14"/>
        <w:szCs w:val="14"/>
        <w:lang w:val="en-US"/>
      </w:rPr>
      <w:t>-</w:t>
    </w:r>
    <w:r w:rsidR="000E69BD" w:rsidRPr="00816E21">
      <w:rPr>
        <w:sz w:val="14"/>
        <w:szCs w:val="14"/>
        <w:lang w:val="en-US"/>
      </w:rPr>
      <w:t>8</w:t>
    </w:r>
    <w:r w:rsidR="00D91F2B" w:rsidRPr="00816E21">
      <w:rPr>
        <w:sz w:val="14"/>
        <w:szCs w:val="14"/>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FE" w:rsidRPr="00816E21" w:rsidRDefault="00D91F2B" w:rsidP="00D91F2B">
    <w:pPr>
      <w:pStyle w:val="Stopka"/>
      <w:tabs>
        <w:tab w:val="clear" w:pos="4536"/>
        <w:tab w:val="clear" w:pos="9072"/>
        <w:tab w:val="center" w:pos="4111"/>
        <w:tab w:val="right" w:pos="8222"/>
      </w:tabs>
      <w:ind w:firstLine="0"/>
      <w:jc w:val="right"/>
      <w:rPr>
        <w:sz w:val="14"/>
        <w:szCs w:val="14"/>
        <w:lang w:val="en-US"/>
      </w:rPr>
    </w:pPr>
    <w:r w:rsidRPr="00816E21">
      <w:rPr>
        <w:sz w:val="14"/>
        <w:szCs w:val="14"/>
        <w:lang w:val="en-US"/>
      </w:rPr>
      <w:tab/>
    </w:r>
    <w:r w:rsidR="009331D1" w:rsidRPr="00816E21">
      <w:rPr>
        <w:sz w:val="14"/>
        <w:szCs w:val="14"/>
        <w:lang w:val="en-US"/>
      </w:rPr>
      <w:t>Nadolny K</w:t>
    </w:r>
    <w:r w:rsidR="006F0FAA">
      <w:rPr>
        <w:sz w:val="14"/>
        <w:szCs w:val="14"/>
        <w:lang w:val="en-US"/>
      </w:rPr>
      <w:t>., Kapłonek W., Ungureanu N.</w:t>
    </w:r>
    <w:r w:rsidR="009331D1" w:rsidRPr="00816E21">
      <w:rPr>
        <w:sz w:val="14"/>
        <w:szCs w:val="14"/>
        <w:lang w:val="en-US"/>
      </w:rPr>
      <w:t xml:space="preserve"> | </w:t>
    </w:r>
    <w:r w:rsidR="009331D1" w:rsidRPr="00816E21">
      <w:rPr>
        <w:i/>
        <w:sz w:val="14"/>
        <w:szCs w:val="14"/>
        <w:lang w:val="en-US"/>
      </w:rPr>
      <w:t>Journal of Mechanical and Energy Engineering</w:t>
    </w:r>
    <w:r w:rsidR="009331D1" w:rsidRPr="00816E21">
      <w:rPr>
        <w:sz w:val="14"/>
        <w:szCs w:val="14"/>
        <w:lang w:val="en-US"/>
      </w:rPr>
      <w:t xml:space="preserve">, Vol. 1, No. 1, </w:t>
    </w:r>
    <w:r w:rsidR="006F0FAA">
      <w:rPr>
        <w:sz w:val="14"/>
        <w:szCs w:val="14"/>
        <w:lang w:val="en-US"/>
      </w:rPr>
      <w:t xml:space="preserve">2017, </w:t>
    </w:r>
    <w:r w:rsidR="00816E21" w:rsidRPr="00816E21">
      <w:rPr>
        <w:sz w:val="14"/>
        <w:szCs w:val="14"/>
        <w:lang w:val="en-US"/>
      </w:rPr>
      <w:t>pp. 1-</w:t>
    </w:r>
    <w:r w:rsidR="009331D1" w:rsidRPr="00816E21">
      <w:rPr>
        <w:sz w:val="14"/>
        <w:szCs w:val="14"/>
        <w:lang w:val="en-US"/>
      </w:rPr>
      <w:t>8</w:t>
    </w:r>
    <w:r w:rsidRPr="00816E21">
      <w:rPr>
        <w:sz w:val="14"/>
        <w:szCs w:val="14"/>
        <w:lang w:val="en-US"/>
      </w:rPr>
      <w:tab/>
    </w:r>
    <w:sdt>
      <w:sdtPr>
        <w:rPr>
          <w:sz w:val="14"/>
          <w:szCs w:val="14"/>
        </w:rPr>
        <w:id w:val="349981474"/>
        <w:docPartObj>
          <w:docPartGallery w:val="Page Numbers (Bottom of Page)"/>
          <w:docPartUnique/>
        </w:docPartObj>
      </w:sdtPr>
      <w:sdtEndPr/>
      <w:sdtContent>
        <w:r w:rsidR="00696B57" w:rsidRPr="00816E21">
          <w:rPr>
            <w:sz w:val="14"/>
            <w:szCs w:val="14"/>
          </w:rPr>
          <w:fldChar w:fldCharType="begin"/>
        </w:r>
        <w:r w:rsidRPr="00816E21">
          <w:rPr>
            <w:sz w:val="14"/>
            <w:szCs w:val="14"/>
            <w:lang w:val="en-US"/>
          </w:rPr>
          <w:instrText xml:space="preserve"> PAGE   \* MERGEFORMAT </w:instrText>
        </w:r>
        <w:r w:rsidR="00696B57" w:rsidRPr="00816E21">
          <w:rPr>
            <w:sz w:val="14"/>
            <w:szCs w:val="14"/>
          </w:rPr>
          <w:fldChar w:fldCharType="separate"/>
        </w:r>
        <w:r w:rsidR="00B20A5C">
          <w:rPr>
            <w:noProof/>
            <w:sz w:val="14"/>
            <w:szCs w:val="14"/>
            <w:lang w:val="en-US"/>
          </w:rPr>
          <w:t>7</w:t>
        </w:r>
        <w:r w:rsidR="00696B57" w:rsidRPr="00816E21">
          <w:rPr>
            <w:sz w:val="14"/>
            <w:szCs w:val="1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6192"/>
    <w:multiLevelType w:val="hybridMultilevel"/>
    <w:tmpl w:val="D7AC95C6"/>
    <w:lvl w:ilvl="0" w:tplc="223E29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FF64AB"/>
    <w:multiLevelType w:val="multilevel"/>
    <w:tmpl w:val="6CF69352"/>
    <w:lvl w:ilvl="0">
      <w:start w:val="1"/>
      <w:numFmt w:val="decimal"/>
      <w:pStyle w:val="JMEEHeading1"/>
      <w:lvlText w:val="%1."/>
      <w:lvlJc w:val="left"/>
      <w:pPr>
        <w:ind w:left="360" w:hanging="360"/>
      </w:pPr>
    </w:lvl>
    <w:lvl w:ilvl="1">
      <w:start w:val="1"/>
      <w:numFmt w:val="decimal"/>
      <w:pStyle w:val="JMEEHeading2"/>
      <w:lvlText w:val="%1.%2."/>
      <w:lvlJc w:val="left"/>
      <w:pPr>
        <w:ind w:left="1000" w:hanging="432"/>
      </w:pPr>
    </w:lvl>
    <w:lvl w:ilvl="2">
      <w:start w:val="1"/>
      <w:numFmt w:val="decimal"/>
      <w:pStyle w:val="PDNagwek3"/>
      <w:lvlText w:val="%1.%2.%3."/>
      <w:lvlJc w:val="left"/>
      <w:pPr>
        <w:ind w:left="1224" w:hanging="504"/>
      </w:pPr>
    </w:lvl>
    <w:lvl w:ilvl="3">
      <w:start w:val="1"/>
      <w:numFmt w:val="decimal"/>
      <w:pStyle w:val="PD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A07E91"/>
    <w:multiLevelType w:val="hybridMultilevel"/>
    <w:tmpl w:val="690EB922"/>
    <w:lvl w:ilvl="0" w:tplc="C3B483D4">
      <w:start w:val="1"/>
      <w:numFmt w:val="decimal"/>
      <w:pStyle w:val="JMEETabletitle"/>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820D1A"/>
    <w:multiLevelType w:val="hybridMultilevel"/>
    <w:tmpl w:val="A7167C32"/>
    <w:lvl w:ilvl="0" w:tplc="04150001">
      <w:start w:val="1"/>
      <w:numFmt w:val="bullet"/>
      <w:lvlText w:val=""/>
      <w:lvlJc w:val="left"/>
      <w:pPr>
        <w:ind w:left="1428" w:hanging="360"/>
      </w:pPr>
      <w:rPr>
        <w:rFonts w:ascii="Symbol" w:hAnsi="Symbol" w:hint="default"/>
      </w:rPr>
    </w:lvl>
    <w:lvl w:ilvl="1" w:tplc="42ECA972">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131B23A8"/>
    <w:multiLevelType w:val="hybridMultilevel"/>
    <w:tmpl w:val="71067C22"/>
    <w:lvl w:ilvl="0" w:tplc="8B8A8F98">
      <w:start w:val="1"/>
      <w:numFmt w:val="decimal"/>
      <w:pStyle w:val="Hbibliografia"/>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47744D7"/>
    <w:multiLevelType w:val="hybridMultilevel"/>
    <w:tmpl w:val="41585720"/>
    <w:lvl w:ilvl="0" w:tplc="15FA5E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49D082C"/>
    <w:multiLevelType w:val="hybridMultilevel"/>
    <w:tmpl w:val="54665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1090059"/>
    <w:multiLevelType w:val="hybridMultilevel"/>
    <w:tmpl w:val="FD147DA4"/>
    <w:lvl w:ilvl="0" w:tplc="15FA5E7C">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8">
    <w:nsid w:val="2520736D"/>
    <w:multiLevelType w:val="hybridMultilevel"/>
    <w:tmpl w:val="D9A4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3707F9"/>
    <w:multiLevelType w:val="hybridMultilevel"/>
    <w:tmpl w:val="F1AC15D0"/>
    <w:lvl w:ilvl="0" w:tplc="29CE367E">
      <w:start w:val="1"/>
      <w:numFmt w:val="decimal"/>
      <w:lvlText w:val="%1."/>
      <w:lvlJc w:val="left"/>
      <w:pPr>
        <w:ind w:left="577" w:hanging="435"/>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2948771C"/>
    <w:multiLevelType w:val="hybridMultilevel"/>
    <w:tmpl w:val="6A6AF2A8"/>
    <w:lvl w:ilvl="0" w:tplc="15FA5E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nsid w:val="2D4E3FB0"/>
    <w:multiLevelType w:val="multilevel"/>
    <w:tmpl w:val="9BDEFD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F57BD1"/>
    <w:multiLevelType w:val="hybridMultilevel"/>
    <w:tmpl w:val="C638E1A4"/>
    <w:lvl w:ilvl="0" w:tplc="EF50537E">
      <w:start w:val="85"/>
      <w:numFmt w:val="decimal"/>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8D51020"/>
    <w:multiLevelType w:val="hybridMultilevel"/>
    <w:tmpl w:val="05225574"/>
    <w:lvl w:ilvl="0" w:tplc="9C447BEC">
      <w:start w:val="1"/>
      <w:numFmt w:val="bullet"/>
      <w:pStyle w:val="wypunktowaniemgr"/>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nsid w:val="46D4736F"/>
    <w:multiLevelType w:val="hybridMultilevel"/>
    <w:tmpl w:val="5ACCBF3A"/>
    <w:lvl w:ilvl="0" w:tplc="1286E6AE">
      <w:start w:val="1"/>
      <w:numFmt w:val="decimal"/>
      <w:lvlText w:val="%1."/>
      <w:lvlJc w:val="left"/>
      <w:pPr>
        <w:ind w:left="2154" w:hanging="360"/>
      </w:pPr>
      <w:rPr>
        <w:rFonts w:hint="default"/>
      </w:rPr>
    </w:lvl>
    <w:lvl w:ilvl="1" w:tplc="04150019" w:tentative="1">
      <w:start w:val="1"/>
      <w:numFmt w:val="lowerLetter"/>
      <w:lvlText w:val="%2."/>
      <w:lvlJc w:val="left"/>
      <w:pPr>
        <w:ind w:left="2874" w:hanging="360"/>
      </w:pPr>
    </w:lvl>
    <w:lvl w:ilvl="2" w:tplc="0415001B" w:tentative="1">
      <w:start w:val="1"/>
      <w:numFmt w:val="lowerRoman"/>
      <w:lvlText w:val="%3."/>
      <w:lvlJc w:val="right"/>
      <w:pPr>
        <w:ind w:left="3594" w:hanging="180"/>
      </w:pPr>
    </w:lvl>
    <w:lvl w:ilvl="3" w:tplc="0415000F" w:tentative="1">
      <w:start w:val="1"/>
      <w:numFmt w:val="decimal"/>
      <w:lvlText w:val="%4."/>
      <w:lvlJc w:val="left"/>
      <w:pPr>
        <w:ind w:left="4314" w:hanging="360"/>
      </w:pPr>
    </w:lvl>
    <w:lvl w:ilvl="4" w:tplc="04150019" w:tentative="1">
      <w:start w:val="1"/>
      <w:numFmt w:val="lowerLetter"/>
      <w:lvlText w:val="%5."/>
      <w:lvlJc w:val="left"/>
      <w:pPr>
        <w:ind w:left="5034" w:hanging="360"/>
      </w:pPr>
    </w:lvl>
    <w:lvl w:ilvl="5" w:tplc="0415001B" w:tentative="1">
      <w:start w:val="1"/>
      <w:numFmt w:val="lowerRoman"/>
      <w:lvlText w:val="%6."/>
      <w:lvlJc w:val="right"/>
      <w:pPr>
        <w:ind w:left="5754" w:hanging="180"/>
      </w:pPr>
    </w:lvl>
    <w:lvl w:ilvl="6" w:tplc="0415000F" w:tentative="1">
      <w:start w:val="1"/>
      <w:numFmt w:val="decimal"/>
      <w:lvlText w:val="%7."/>
      <w:lvlJc w:val="left"/>
      <w:pPr>
        <w:ind w:left="6474" w:hanging="360"/>
      </w:pPr>
    </w:lvl>
    <w:lvl w:ilvl="7" w:tplc="04150019" w:tentative="1">
      <w:start w:val="1"/>
      <w:numFmt w:val="lowerLetter"/>
      <w:lvlText w:val="%8."/>
      <w:lvlJc w:val="left"/>
      <w:pPr>
        <w:ind w:left="7194" w:hanging="360"/>
      </w:pPr>
    </w:lvl>
    <w:lvl w:ilvl="8" w:tplc="0415001B" w:tentative="1">
      <w:start w:val="1"/>
      <w:numFmt w:val="lowerRoman"/>
      <w:lvlText w:val="%9."/>
      <w:lvlJc w:val="right"/>
      <w:pPr>
        <w:ind w:left="7914" w:hanging="180"/>
      </w:pPr>
    </w:lvl>
  </w:abstractNum>
  <w:abstractNum w:abstractNumId="15">
    <w:nsid w:val="522B7E3A"/>
    <w:multiLevelType w:val="hybridMultilevel"/>
    <w:tmpl w:val="9E28D028"/>
    <w:lvl w:ilvl="0" w:tplc="0E6484A0">
      <w:start w:val="1"/>
      <w:numFmt w:val="decimal"/>
      <w:lvlText w:val="[%1]"/>
      <w:lvlJc w:val="left"/>
      <w:pPr>
        <w:tabs>
          <w:tab w:val="num" w:pos="720"/>
        </w:tabs>
        <w:ind w:left="720" w:hanging="360"/>
      </w:pPr>
      <w:rPr>
        <w:b w:val="0"/>
        <w:sz w:val="20"/>
      </w:rPr>
    </w:lvl>
    <w:lvl w:ilvl="1" w:tplc="8AC422DA">
      <w:start w:val="1"/>
      <w:numFmt w:val="decimal"/>
      <w:lvlText w:val="%2."/>
      <w:lvlJc w:val="left"/>
      <w:pPr>
        <w:tabs>
          <w:tab w:val="num" w:pos="1440"/>
        </w:tabs>
        <w:ind w:left="1440" w:hanging="360"/>
      </w:pPr>
    </w:lvl>
    <w:lvl w:ilvl="2" w:tplc="49B6601E">
      <w:start w:val="1"/>
      <w:numFmt w:val="decimal"/>
      <w:lvlText w:val="%3."/>
      <w:lvlJc w:val="left"/>
      <w:pPr>
        <w:tabs>
          <w:tab w:val="num" w:pos="2160"/>
        </w:tabs>
        <w:ind w:left="2160" w:hanging="360"/>
      </w:pPr>
    </w:lvl>
    <w:lvl w:ilvl="3" w:tplc="C6380276">
      <w:start w:val="1"/>
      <w:numFmt w:val="decimal"/>
      <w:lvlText w:val="%4."/>
      <w:lvlJc w:val="left"/>
      <w:pPr>
        <w:tabs>
          <w:tab w:val="num" w:pos="2880"/>
        </w:tabs>
        <w:ind w:left="2880" w:hanging="360"/>
      </w:pPr>
    </w:lvl>
    <w:lvl w:ilvl="4" w:tplc="C336A756">
      <w:start w:val="1"/>
      <w:numFmt w:val="decimal"/>
      <w:lvlText w:val="%5."/>
      <w:lvlJc w:val="left"/>
      <w:pPr>
        <w:tabs>
          <w:tab w:val="num" w:pos="3600"/>
        </w:tabs>
        <w:ind w:left="3600" w:hanging="360"/>
      </w:pPr>
    </w:lvl>
    <w:lvl w:ilvl="5" w:tplc="09F2DFB4">
      <w:start w:val="1"/>
      <w:numFmt w:val="decimal"/>
      <w:lvlText w:val="%6."/>
      <w:lvlJc w:val="left"/>
      <w:pPr>
        <w:tabs>
          <w:tab w:val="num" w:pos="4320"/>
        </w:tabs>
        <w:ind w:left="4320" w:hanging="360"/>
      </w:pPr>
    </w:lvl>
    <w:lvl w:ilvl="6" w:tplc="B79A32AC">
      <w:start w:val="1"/>
      <w:numFmt w:val="decimal"/>
      <w:lvlText w:val="%7."/>
      <w:lvlJc w:val="left"/>
      <w:pPr>
        <w:tabs>
          <w:tab w:val="num" w:pos="5040"/>
        </w:tabs>
        <w:ind w:left="5040" w:hanging="360"/>
      </w:pPr>
    </w:lvl>
    <w:lvl w:ilvl="7" w:tplc="7DF254A8">
      <w:start w:val="1"/>
      <w:numFmt w:val="decimal"/>
      <w:lvlText w:val="%8."/>
      <w:lvlJc w:val="left"/>
      <w:pPr>
        <w:tabs>
          <w:tab w:val="num" w:pos="5760"/>
        </w:tabs>
        <w:ind w:left="5760" w:hanging="360"/>
      </w:pPr>
    </w:lvl>
    <w:lvl w:ilvl="8" w:tplc="154C8726">
      <w:start w:val="1"/>
      <w:numFmt w:val="decimal"/>
      <w:lvlText w:val="%9."/>
      <w:lvlJc w:val="left"/>
      <w:pPr>
        <w:tabs>
          <w:tab w:val="num" w:pos="6480"/>
        </w:tabs>
        <w:ind w:left="6480" w:hanging="360"/>
      </w:pPr>
    </w:lvl>
  </w:abstractNum>
  <w:abstractNum w:abstractNumId="16">
    <w:nsid w:val="545165E7"/>
    <w:multiLevelType w:val="hybridMultilevel"/>
    <w:tmpl w:val="5372A7A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5E941BE0"/>
    <w:multiLevelType w:val="hybridMultilevel"/>
    <w:tmpl w:val="49C6A8E6"/>
    <w:lvl w:ilvl="0" w:tplc="125C9F74">
      <w:start w:val="1"/>
      <w:numFmt w:val="decimal"/>
      <w:pStyle w:val="JMEENumberedlist"/>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60C95580"/>
    <w:multiLevelType w:val="hybridMultilevel"/>
    <w:tmpl w:val="8A56A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3476490"/>
    <w:multiLevelType w:val="hybridMultilevel"/>
    <w:tmpl w:val="48CC2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8123503"/>
    <w:multiLevelType w:val="hybridMultilevel"/>
    <w:tmpl w:val="2DFEC620"/>
    <w:lvl w:ilvl="0" w:tplc="5636D818">
      <w:start w:val="1"/>
      <w:numFmt w:val="decimal"/>
      <w:pStyle w:val="JMEEBibliography"/>
      <w:lvlText w:val="%1."/>
      <w:lvlJc w:val="left"/>
      <w:pPr>
        <w:ind w:left="1287" w:hanging="360"/>
      </w:pPr>
      <w:rPr>
        <w:lang w:val="pl-PL"/>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6BEB5E78"/>
    <w:multiLevelType w:val="hybridMultilevel"/>
    <w:tmpl w:val="C2BEA7C8"/>
    <w:lvl w:ilvl="0" w:tplc="7146090E">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2">
    <w:nsid w:val="6D4D6926"/>
    <w:multiLevelType w:val="hybridMultilevel"/>
    <w:tmpl w:val="EB2C8086"/>
    <w:lvl w:ilvl="0" w:tplc="DCD0A1DE">
      <w:start w:val="1"/>
      <w:numFmt w:val="decimal"/>
      <w:lvlText w:val="%1."/>
      <w:lvlJc w:val="left"/>
      <w:pPr>
        <w:ind w:left="1773" w:hanging="10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E7D7411"/>
    <w:multiLevelType w:val="hybridMultilevel"/>
    <w:tmpl w:val="6A4C6C1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6EC1243F"/>
    <w:multiLevelType w:val="hybridMultilevel"/>
    <w:tmpl w:val="67A495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1755E03"/>
    <w:multiLevelType w:val="hybridMultilevel"/>
    <w:tmpl w:val="B0D80588"/>
    <w:lvl w:ilvl="0" w:tplc="B38C74F4">
      <w:start w:val="1"/>
      <w:numFmt w:val="decimal"/>
      <w:pStyle w:val="JMEEFigurecaption"/>
      <w:lvlText w:val="Fig. %1."/>
      <w:lvlJc w:val="left"/>
      <w:pPr>
        <w:ind w:left="1287" w:hanging="360"/>
      </w:pPr>
      <w:rPr>
        <w:rFonts w:hint="default"/>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3944086"/>
    <w:multiLevelType w:val="hybridMultilevel"/>
    <w:tmpl w:val="270AFF72"/>
    <w:lvl w:ilvl="0" w:tplc="803A9CAC">
      <w:start w:val="1"/>
      <w:numFmt w:val="bullet"/>
      <w:pStyle w:val="JMEEBulletpoints"/>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nsid w:val="7CED71BA"/>
    <w:multiLevelType w:val="hybridMultilevel"/>
    <w:tmpl w:val="128A96E2"/>
    <w:lvl w:ilvl="0" w:tplc="E25ECEA4">
      <w:start w:val="1"/>
      <w:numFmt w:val="decimal"/>
      <w:lvlText w:val="%1."/>
      <w:lvlJc w:val="left"/>
      <w:pPr>
        <w:ind w:left="1977" w:hanging="141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
    <w:nsid w:val="7E7B1234"/>
    <w:multiLevelType w:val="hybridMultilevel"/>
    <w:tmpl w:val="18C46E86"/>
    <w:lvl w:ilvl="0" w:tplc="3FFE4F2E">
      <w:start w:val="1"/>
      <w:numFmt w:val="decimal"/>
      <w:lvlText w:val="%1."/>
      <w:lvlJc w:val="left"/>
      <w:pPr>
        <w:tabs>
          <w:tab w:val="num" w:pos="284"/>
        </w:tabs>
        <w:ind w:left="284" w:hanging="284"/>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1"/>
  </w:num>
  <w:num w:numId="2">
    <w:abstractNumId w:val="10"/>
  </w:num>
  <w:num w:numId="3">
    <w:abstractNumId w:val="5"/>
  </w:num>
  <w:num w:numId="4">
    <w:abstractNumId w:val="21"/>
  </w:num>
  <w:num w:numId="5">
    <w:abstractNumId w:val="6"/>
  </w:num>
  <w:num w:numId="6">
    <w:abstractNumId w:val="16"/>
  </w:num>
  <w:num w:numId="7">
    <w:abstractNumId w:val="27"/>
  </w:num>
  <w:num w:numId="8">
    <w:abstractNumId w:val="26"/>
  </w:num>
  <w:num w:numId="9">
    <w:abstractNumId w:val="17"/>
  </w:num>
  <w:num w:numId="10">
    <w:abstractNumId w:val="11"/>
  </w:num>
  <w:num w:numId="11">
    <w:abstractNumId w:val="14"/>
  </w:num>
  <w:num w:numId="12">
    <w:abstractNumId w:val="13"/>
  </w:num>
  <w:num w:numId="13">
    <w:abstractNumId w:val="17"/>
    <w:lvlOverride w:ilvl="0">
      <w:startOverride w:val="1"/>
    </w:lvlOverride>
  </w:num>
  <w:num w:numId="14">
    <w:abstractNumId w:val="17"/>
    <w:lvlOverride w:ilvl="0">
      <w:startOverride w:val="1"/>
    </w:lvlOverride>
  </w:num>
  <w:num w:numId="15">
    <w:abstractNumId w:val="25"/>
  </w:num>
  <w:num w:numId="16">
    <w:abstractNumId w:val="12"/>
  </w:num>
  <w:num w:numId="17">
    <w:abstractNumId w:val="2"/>
  </w:num>
  <w:num w:numId="18">
    <w:abstractNumId w:val="28"/>
  </w:num>
  <w:num w:numId="19">
    <w:abstractNumId w:val="0"/>
  </w:num>
  <w:num w:numId="20">
    <w:abstractNumId w:val="20"/>
  </w:num>
  <w:num w:numId="21">
    <w:abstractNumId w:val="20"/>
    <w:lvlOverride w:ilvl="0">
      <w:startOverride w:val="1"/>
    </w:lvlOverride>
  </w:num>
  <w:num w:numId="22">
    <w:abstractNumId w:val="20"/>
    <w:lvlOverride w:ilvl="0">
      <w:startOverride w:val="1"/>
    </w:lvlOverride>
  </w:num>
  <w:num w:numId="23">
    <w:abstractNumId w:val="8"/>
  </w:num>
  <w:num w:numId="24">
    <w:abstractNumId w:val="18"/>
  </w:num>
  <w:num w:numId="25">
    <w:abstractNumId w:val="24"/>
  </w:num>
  <w:num w:numId="26">
    <w:abstractNumId w:val="19"/>
  </w:num>
  <w:num w:numId="27">
    <w:abstractNumId w:val="23"/>
  </w:num>
  <w:num w:numId="28">
    <w:abstractNumId w:val="22"/>
  </w:num>
  <w:num w:numId="29">
    <w:abstractNumId w:val="3"/>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20"/>
  </w:num>
  <w:num w:numId="36">
    <w:abstractNumId w:val="20"/>
    <w:lvlOverride w:ilvl="0">
      <w:startOverride w:val="1"/>
    </w:lvlOverride>
  </w:num>
  <w:num w:numId="37">
    <w:abstractNumId w:val="17"/>
    <w:lvlOverride w:ilvl="0">
      <w:startOverride w:val="1"/>
    </w:lvlOverride>
  </w:num>
  <w:num w:numId="38">
    <w:abstractNumId w:val="20"/>
    <w:lvlOverride w:ilvl="0">
      <w:startOverride w:val="1"/>
    </w:lvlOverride>
  </w:num>
  <w:num w:numId="39">
    <w:abstractNumId w:val="20"/>
    <w:lvlOverride w:ilvl="0">
      <w:startOverride w:val="1"/>
    </w:lvlOverride>
  </w:num>
  <w:num w:numId="40">
    <w:abstractNumId w:val="20"/>
    <w:lvlOverride w:ilvl="0">
      <w:startOverride w:val="1"/>
    </w:lvlOverride>
  </w:num>
  <w:num w:numId="41">
    <w:abstractNumId w:val="20"/>
    <w:lvlOverride w:ilvl="0">
      <w:startOverride w:val="1"/>
    </w:lvlOverride>
  </w:num>
  <w:num w:numId="42">
    <w:abstractNumId w:val="9"/>
  </w:num>
  <w:num w:numId="43">
    <w:abstractNumId w:val="7"/>
  </w:num>
  <w:num w:numId="44">
    <w:abstractNumId w:val="4"/>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6058"/>
    <w:rsid w:val="0000724D"/>
    <w:rsid w:val="00007458"/>
    <w:rsid w:val="00011FA6"/>
    <w:rsid w:val="000132E3"/>
    <w:rsid w:val="0001437A"/>
    <w:rsid w:val="000206CF"/>
    <w:rsid w:val="000209F4"/>
    <w:rsid w:val="000305DD"/>
    <w:rsid w:val="00032B66"/>
    <w:rsid w:val="00033BEB"/>
    <w:rsid w:val="00036058"/>
    <w:rsid w:val="000435B0"/>
    <w:rsid w:val="000456D0"/>
    <w:rsid w:val="0004575B"/>
    <w:rsid w:val="00045AA8"/>
    <w:rsid w:val="000505C5"/>
    <w:rsid w:val="000624EF"/>
    <w:rsid w:val="00062E9F"/>
    <w:rsid w:val="0006679C"/>
    <w:rsid w:val="0007105A"/>
    <w:rsid w:val="000726E6"/>
    <w:rsid w:val="00073E22"/>
    <w:rsid w:val="00074F6A"/>
    <w:rsid w:val="000771A9"/>
    <w:rsid w:val="00095695"/>
    <w:rsid w:val="000B1F4E"/>
    <w:rsid w:val="000B404D"/>
    <w:rsid w:val="000B43E7"/>
    <w:rsid w:val="000B45D1"/>
    <w:rsid w:val="000B5678"/>
    <w:rsid w:val="000C0E50"/>
    <w:rsid w:val="000C14CB"/>
    <w:rsid w:val="000C2A9A"/>
    <w:rsid w:val="000C3F79"/>
    <w:rsid w:val="000D0852"/>
    <w:rsid w:val="000D0D11"/>
    <w:rsid w:val="000D4A7D"/>
    <w:rsid w:val="000E2D3F"/>
    <w:rsid w:val="000E66B6"/>
    <w:rsid w:val="000E69BD"/>
    <w:rsid w:val="000F62A5"/>
    <w:rsid w:val="000F751C"/>
    <w:rsid w:val="0010201B"/>
    <w:rsid w:val="001043A8"/>
    <w:rsid w:val="00110113"/>
    <w:rsid w:val="001118A8"/>
    <w:rsid w:val="0011395A"/>
    <w:rsid w:val="001143C2"/>
    <w:rsid w:val="0012501F"/>
    <w:rsid w:val="001251D6"/>
    <w:rsid w:val="0012614D"/>
    <w:rsid w:val="0012709C"/>
    <w:rsid w:val="00143085"/>
    <w:rsid w:val="00154DE5"/>
    <w:rsid w:val="00154F6D"/>
    <w:rsid w:val="001577E2"/>
    <w:rsid w:val="0016147F"/>
    <w:rsid w:val="00180065"/>
    <w:rsid w:val="00183DAA"/>
    <w:rsid w:val="00186ECE"/>
    <w:rsid w:val="001913E7"/>
    <w:rsid w:val="001A0D4E"/>
    <w:rsid w:val="001A7C85"/>
    <w:rsid w:val="001B00AE"/>
    <w:rsid w:val="001B41AE"/>
    <w:rsid w:val="001B775D"/>
    <w:rsid w:val="001C0F04"/>
    <w:rsid w:val="001C23F3"/>
    <w:rsid w:val="001C2F56"/>
    <w:rsid w:val="001D16D4"/>
    <w:rsid w:val="001D44BE"/>
    <w:rsid w:val="001D7415"/>
    <w:rsid w:val="001D7B86"/>
    <w:rsid w:val="001E0CF8"/>
    <w:rsid w:val="001E1B91"/>
    <w:rsid w:val="001E3BB9"/>
    <w:rsid w:val="001F0811"/>
    <w:rsid w:val="001F353B"/>
    <w:rsid w:val="001F35B5"/>
    <w:rsid w:val="001F6FA5"/>
    <w:rsid w:val="00213C06"/>
    <w:rsid w:val="002150CE"/>
    <w:rsid w:val="002170AA"/>
    <w:rsid w:val="00217375"/>
    <w:rsid w:val="0022335E"/>
    <w:rsid w:val="00224389"/>
    <w:rsid w:val="00225137"/>
    <w:rsid w:val="00225EC2"/>
    <w:rsid w:val="00226E0C"/>
    <w:rsid w:val="002345E6"/>
    <w:rsid w:val="002371AC"/>
    <w:rsid w:val="00237C88"/>
    <w:rsid w:val="00244FF6"/>
    <w:rsid w:val="002501B4"/>
    <w:rsid w:val="002503F2"/>
    <w:rsid w:val="00263D08"/>
    <w:rsid w:val="00265637"/>
    <w:rsid w:val="0026777A"/>
    <w:rsid w:val="002718AA"/>
    <w:rsid w:val="002763C0"/>
    <w:rsid w:val="00276666"/>
    <w:rsid w:val="00276E44"/>
    <w:rsid w:val="00280E16"/>
    <w:rsid w:val="0029030F"/>
    <w:rsid w:val="00292AAB"/>
    <w:rsid w:val="00294A45"/>
    <w:rsid w:val="002A085D"/>
    <w:rsid w:val="002A6A0D"/>
    <w:rsid w:val="002B044F"/>
    <w:rsid w:val="002B3499"/>
    <w:rsid w:val="002B5233"/>
    <w:rsid w:val="002C0BB3"/>
    <w:rsid w:val="002C26F9"/>
    <w:rsid w:val="002C6DF4"/>
    <w:rsid w:val="002E0DC9"/>
    <w:rsid w:val="002E3D02"/>
    <w:rsid w:val="002F13AB"/>
    <w:rsid w:val="002F4848"/>
    <w:rsid w:val="00300AAC"/>
    <w:rsid w:val="00310722"/>
    <w:rsid w:val="00310B95"/>
    <w:rsid w:val="00323AF1"/>
    <w:rsid w:val="003245A4"/>
    <w:rsid w:val="00330185"/>
    <w:rsid w:val="0033082A"/>
    <w:rsid w:val="00335BD9"/>
    <w:rsid w:val="00340368"/>
    <w:rsid w:val="003525D1"/>
    <w:rsid w:val="00354078"/>
    <w:rsid w:val="00360841"/>
    <w:rsid w:val="00362D2E"/>
    <w:rsid w:val="0036366F"/>
    <w:rsid w:val="0036745B"/>
    <w:rsid w:val="00373ACD"/>
    <w:rsid w:val="00373C38"/>
    <w:rsid w:val="00380B3A"/>
    <w:rsid w:val="00381512"/>
    <w:rsid w:val="0039096E"/>
    <w:rsid w:val="003937BF"/>
    <w:rsid w:val="00393BEE"/>
    <w:rsid w:val="00393EEA"/>
    <w:rsid w:val="00396E95"/>
    <w:rsid w:val="00397487"/>
    <w:rsid w:val="003A5CC6"/>
    <w:rsid w:val="003B40FD"/>
    <w:rsid w:val="003C5E27"/>
    <w:rsid w:val="003C5E98"/>
    <w:rsid w:val="003D19ED"/>
    <w:rsid w:val="003D3627"/>
    <w:rsid w:val="003E5EBD"/>
    <w:rsid w:val="003E6401"/>
    <w:rsid w:val="003F05BC"/>
    <w:rsid w:val="003F1E87"/>
    <w:rsid w:val="003F4C5A"/>
    <w:rsid w:val="003F631C"/>
    <w:rsid w:val="004035E7"/>
    <w:rsid w:val="004304FA"/>
    <w:rsid w:val="00431202"/>
    <w:rsid w:val="00431A2E"/>
    <w:rsid w:val="004360E0"/>
    <w:rsid w:val="0045202E"/>
    <w:rsid w:val="0046305C"/>
    <w:rsid w:val="00463EB8"/>
    <w:rsid w:val="00471F14"/>
    <w:rsid w:val="004806AE"/>
    <w:rsid w:val="004806C9"/>
    <w:rsid w:val="00492621"/>
    <w:rsid w:val="004A1D57"/>
    <w:rsid w:val="004A576E"/>
    <w:rsid w:val="004B472C"/>
    <w:rsid w:val="004C0439"/>
    <w:rsid w:val="004C1279"/>
    <w:rsid w:val="004C1AC0"/>
    <w:rsid w:val="004C2977"/>
    <w:rsid w:val="004C447A"/>
    <w:rsid w:val="004C53A1"/>
    <w:rsid w:val="004C5BCD"/>
    <w:rsid w:val="004D4162"/>
    <w:rsid w:val="004E7DCD"/>
    <w:rsid w:val="004F027D"/>
    <w:rsid w:val="005030ED"/>
    <w:rsid w:val="005038B3"/>
    <w:rsid w:val="0050690F"/>
    <w:rsid w:val="00507166"/>
    <w:rsid w:val="005106AA"/>
    <w:rsid w:val="00513306"/>
    <w:rsid w:val="005266B3"/>
    <w:rsid w:val="00527715"/>
    <w:rsid w:val="00531D5E"/>
    <w:rsid w:val="00533622"/>
    <w:rsid w:val="005428F6"/>
    <w:rsid w:val="00550027"/>
    <w:rsid w:val="0055162A"/>
    <w:rsid w:val="005524F2"/>
    <w:rsid w:val="0055731C"/>
    <w:rsid w:val="005576C8"/>
    <w:rsid w:val="00557D2A"/>
    <w:rsid w:val="0057133E"/>
    <w:rsid w:val="00571ABE"/>
    <w:rsid w:val="0057267E"/>
    <w:rsid w:val="0057389C"/>
    <w:rsid w:val="00573ABC"/>
    <w:rsid w:val="00584FF3"/>
    <w:rsid w:val="00597300"/>
    <w:rsid w:val="005B36CA"/>
    <w:rsid w:val="005B5335"/>
    <w:rsid w:val="005C196E"/>
    <w:rsid w:val="005C303C"/>
    <w:rsid w:val="005C336F"/>
    <w:rsid w:val="005D0EA6"/>
    <w:rsid w:val="005D158D"/>
    <w:rsid w:val="005D7365"/>
    <w:rsid w:val="005E3807"/>
    <w:rsid w:val="005E5D5D"/>
    <w:rsid w:val="005E7703"/>
    <w:rsid w:val="005F082D"/>
    <w:rsid w:val="005F66C7"/>
    <w:rsid w:val="005F7456"/>
    <w:rsid w:val="0060372D"/>
    <w:rsid w:val="0060491C"/>
    <w:rsid w:val="0060673F"/>
    <w:rsid w:val="00620770"/>
    <w:rsid w:val="0062518B"/>
    <w:rsid w:val="00626BAA"/>
    <w:rsid w:val="00630CFD"/>
    <w:rsid w:val="00633527"/>
    <w:rsid w:val="0063361A"/>
    <w:rsid w:val="00640827"/>
    <w:rsid w:val="006408DF"/>
    <w:rsid w:val="00643110"/>
    <w:rsid w:val="006571C5"/>
    <w:rsid w:val="00657A5F"/>
    <w:rsid w:val="0066190F"/>
    <w:rsid w:val="00664E63"/>
    <w:rsid w:val="00664EEB"/>
    <w:rsid w:val="006670DE"/>
    <w:rsid w:val="006677CD"/>
    <w:rsid w:val="00673928"/>
    <w:rsid w:val="00675791"/>
    <w:rsid w:val="0068691B"/>
    <w:rsid w:val="00692320"/>
    <w:rsid w:val="00695DB2"/>
    <w:rsid w:val="00696B57"/>
    <w:rsid w:val="006A18D8"/>
    <w:rsid w:val="006A1D50"/>
    <w:rsid w:val="006A1F0A"/>
    <w:rsid w:val="006A39D5"/>
    <w:rsid w:val="006A4D64"/>
    <w:rsid w:val="006B191E"/>
    <w:rsid w:val="006C16E2"/>
    <w:rsid w:val="006C20C0"/>
    <w:rsid w:val="006C4C76"/>
    <w:rsid w:val="006D65BE"/>
    <w:rsid w:val="006E13FA"/>
    <w:rsid w:val="006E318C"/>
    <w:rsid w:val="006E3F33"/>
    <w:rsid w:val="006F0FAA"/>
    <w:rsid w:val="006F1F8D"/>
    <w:rsid w:val="00702248"/>
    <w:rsid w:val="0070459F"/>
    <w:rsid w:val="00707F9F"/>
    <w:rsid w:val="007102CD"/>
    <w:rsid w:val="00720AE4"/>
    <w:rsid w:val="00722E27"/>
    <w:rsid w:val="007261E6"/>
    <w:rsid w:val="00733DAE"/>
    <w:rsid w:val="00735925"/>
    <w:rsid w:val="00736BB7"/>
    <w:rsid w:val="007409BA"/>
    <w:rsid w:val="00744E38"/>
    <w:rsid w:val="0074596F"/>
    <w:rsid w:val="00746CFB"/>
    <w:rsid w:val="00754441"/>
    <w:rsid w:val="00756971"/>
    <w:rsid w:val="0076022E"/>
    <w:rsid w:val="007606B4"/>
    <w:rsid w:val="0076596A"/>
    <w:rsid w:val="0077119D"/>
    <w:rsid w:val="00771728"/>
    <w:rsid w:val="007870BF"/>
    <w:rsid w:val="00787D87"/>
    <w:rsid w:val="007925A9"/>
    <w:rsid w:val="007A1917"/>
    <w:rsid w:val="007A2414"/>
    <w:rsid w:val="007A2A62"/>
    <w:rsid w:val="007A4ECD"/>
    <w:rsid w:val="007A5D78"/>
    <w:rsid w:val="007A63B8"/>
    <w:rsid w:val="007B04CC"/>
    <w:rsid w:val="007B279D"/>
    <w:rsid w:val="007B5039"/>
    <w:rsid w:val="007D58D1"/>
    <w:rsid w:val="007E4277"/>
    <w:rsid w:val="007E6B66"/>
    <w:rsid w:val="007F0EEC"/>
    <w:rsid w:val="007F4644"/>
    <w:rsid w:val="007F66BF"/>
    <w:rsid w:val="00807096"/>
    <w:rsid w:val="0081384D"/>
    <w:rsid w:val="00816170"/>
    <w:rsid w:val="00816E21"/>
    <w:rsid w:val="00830C0D"/>
    <w:rsid w:val="00834C6B"/>
    <w:rsid w:val="008432D1"/>
    <w:rsid w:val="00846488"/>
    <w:rsid w:val="008571BA"/>
    <w:rsid w:val="00863A1A"/>
    <w:rsid w:val="00866A29"/>
    <w:rsid w:val="00870A33"/>
    <w:rsid w:val="00870D1E"/>
    <w:rsid w:val="00877C70"/>
    <w:rsid w:val="008810EB"/>
    <w:rsid w:val="008A0C02"/>
    <w:rsid w:val="008C594C"/>
    <w:rsid w:val="008C5FF1"/>
    <w:rsid w:val="008D1CC6"/>
    <w:rsid w:val="008D39A9"/>
    <w:rsid w:val="008D6719"/>
    <w:rsid w:val="008F5E58"/>
    <w:rsid w:val="008F6E04"/>
    <w:rsid w:val="008F7A19"/>
    <w:rsid w:val="00901DBA"/>
    <w:rsid w:val="009045F5"/>
    <w:rsid w:val="00914938"/>
    <w:rsid w:val="00922534"/>
    <w:rsid w:val="009269DC"/>
    <w:rsid w:val="00930F7B"/>
    <w:rsid w:val="00931873"/>
    <w:rsid w:val="009331D1"/>
    <w:rsid w:val="009373EF"/>
    <w:rsid w:val="009449DA"/>
    <w:rsid w:val="00950CAD"/>
    <w:rsid w:val="009516E1"/>
    <w:rsid w:val="00963139"/>
    <w:rsid w:val="00966B2B"/>
    <w:rsid w:val="00972C91"/>
    <w:rsid w:val="009764D9"/>
    <w:rsid w:val="009765F7"/>
    <w:rsid w:val="00983157"/>
    <w:rsid w:val="009A0237"/>
    <w:rsid w:val="009A3B49"/>
    <w:rsid w:val="009A3FE8"/>
    <w:rsid w:val="009B5696"/>
    <w:rsid w:val="009B5965"/>
    <w:rsid w:val="009B714F"/>
    <w:rsid w:val="009C5E57"/>
    <w:rsid w:val="009D500C"/>
    <w:rsid w:val="009E05FE"/>
    <w:rsid w:val="009E096D"/>
    <w:rsid w:val="009E378C"/>
    <w:rsid w:val="009F20CE"/>
    <w:rsid w:val="009F5793"/>
    <w:rsid w:val="009F7761"/>
    <w:rsid w:val="00A01BBB"/>
    <w:rsid w:val="00A02CCA"/>
    <w:rsid w:val="00A0360D"/>
    <w:rsid w:val="00A10F6A"/>
    <w:rsid w:val="00A21D99"/>
    <w:rsid w:val="00A23ADD"/>
    <w:rsid w:val="00A252DF"/>
    <w:rsid w:val="00A253A7"/>
    <w:rsid w:val="00A25641"/>
    <w:rsid w:val="00A26718"/>
    <w:rsid w:val="00A270B3"/>
    <w:rsid w:val="00A314A8"/>
    <w:rsid w:val="00A316B3"/>
    <w:rsid w:val="00A35A80"/>
    <w:rsid w:val="00A45C3B"/>
    <w:rsid w:val="00A502D3"/>
    <w:rsid w:val="00A51A60"/>
    <w:rsid w:val="00A63CCB"/>
    <w:rsid w:val="00A65691"/>
    <w:rsid w:val="00A744BB"/>
    <w:rsid w:val="00A930C4"/>
    <w:rsid w:val="00A934B5"/>
    <w:rsid w:val="00A9534C"/>
    <w:rsid w:val="00AA1389"/>
    <w:rsid w:val="00AA24D8"/>
    <w:rsid w:val="00AA5FA8"/>
    <w:rsid w:val="00AB1EE0"/>
    <w:rsid w:val="00AC3E81"/>
    <w:rsid w:val="00AC4F12"/>
    <w:rsid w:val="00AC73DA"/>
    <w:rsid w:val="00AD14C0"/>
    <w:rsid w:val="00AD7D12"/>
    <w:rsid w:val="00AE2799"/>
    <w:rsid w:val="00AE3007"/>
    <w:rsid w:val="00AE5D7B"/>
    <w:rsid w:val="00AF0A70"/>
    <w:rsid w:val="00AF45C5"/>
    <w:rsid w:val="00AF51D8"/>
    <w:rsid w:val="00AF5DD6"/>
    <w:rsid w:val="00AF62CD"/>
    <w:rsid w:val="00B019F8"/>
    <w:rsid w:val="00B025FF"/>
    <w:rsid w:val="00B14E7F"/>
    <w:rsid w:val="00B20A5C"/>
    <w:rsid w:val="00B2286E"/>
    <w:rsid w:val="00B23D55"/>
    <w:rsid w:val="00B23FBA"/>
    <w:rsid w:val="00B464BC"/>
    <w:rsid w:val="00B50101"/>
    <w:rsid w:val="00B657E3"/>
    <w:rsid w:val="00B678AC"/>
    <w:rsid w:val="00B70D48"/>
    <w:rsid w:val="00B70EE7"/>
    <w:rsid w:val="00B91291"/>
    <w:rsid w:val="00B92524"/>
    <w:rsid w:val="00B96B99"/>
    <w:rsid w:val="00B97754"/>
    <w:rsid w:val="00BA43C1"/>
    <w:rsid w:val="00BA59FD"/>
    <w:rsid w:val="00BA678C"/>
    <w:rsid w:val="00BB14FD"/>
    <w:rsid w:val="00BC0F50"/>
    <w:rsid w:val="00BC228A"/>
    <w:rsid w:val="00BC3CE5"/>
    <w:rsid w:val="00BC6798"/>
    <w:rsid w:val="00BD071F"/>
    <w:rsid w:val="00BD0778"/>
    <w:rsid w:val="00BD31A7"/>
    <w:rsid w:val="00BD57B9"/>
    <w:rsid w:val="00BD6D85"/>
    <w:rsid w:val="00BE702B"/>
    <w:rsid w:val="00BE7C81"/>
    <w:rsid w:val="00BF6579"/>
    <w:rsid w:val="00C00835"/>
    <w:rsid w:val="00C035BC"/>
    <w:rsid w:val="00C10F51"/>
    <w:rsid w:val="00C158D9"/>
    <w:rsid w:val="00C179A0"/>
    <w:rsid w:val="00C2033D"/>
    <w:rsid w:val="00C2323D"/>
    <w:rsid w:val="00C25985"/>
    <w:rsid w:val="00C25B87"/>
    <w:rsid w:val="00C325FC"/>
    <w:rsid w:val="00C32A96"/>
    <w:rsid w:val="00C37927"/>
    <w:rsid w:val="00C43BCE"/>
    <w:rsid w:val="00C51F55"/>
    <w:rsid w:val="00C52816"/>
    <w:rsid w:val="00C5752F"/>
    <w:rsid w:val="00C65B00"/>
    <w:rsid w:val="00C81771"/>
    <w:rsid w:val="00C90E7F"/>
    <w:rsid w:val="00C91DC0"/>
    <w:rsid w:val="00C94FB0"/>
    <w:rsid w:val="00C95A33"/>
    <w:rsid w:val="00C97187"/>
    <w:rsid w:val="00C97271"/>
    <w:rsid w:val="00C97B5B"/>
    <w:rsid w:val="00C97B71"/>
    <w:rsid w:val="00CA124C"/>
    <w:rsid w:val="00CB131D"/>
    <w:rsid w:val="00CB17D9"/>
    <w:rsid w:val="00CB48BD"/>
    <w:rsid w:val="00CC3112"/>
    <w:rsid w:val="00CC3FC0"/>
    <w:rsid w:val="00CC559C"/>
    <w:rsid w:val="00CD1771"/>
    <w:rsid w:val="00CE6AED"/>
    <w:rsid w:val="00CE6EB9"/>
    <w:rsid w:val="00CE7AE3"/>
    <w:rsid w:val="00CF2144"/>
    <w:rsid w:val="00CF31AE"/>
    <w:rsid w:val="00CF48AA"/>
    <w:rsid w:val="00CF49BF"/>
    <w:rsid w:val="00D011E2"/>
    <w:rsid w:val="00D27654"/>
    <w:rsid w:val="00D316A3"/>
    <w:rsid w:val="00D3447B"/>
    <w:rsid w:val="00D36115"/>
    <w:rsid w:val="00D3730E"/>
    <w:rsid w:val="00D453D1"/>
    <w:rsid w:val="00D46155"/>
    <w:rsid w:val="00D47563"/>
    <w:rsid w:val="00D52400"/>
    <w:rsid w:val="00D569A8"/>
    <w:rsid w:val="00D56B29"/>
    <w:rsid w:val="00D57993"/>
    <w:rsid w:val="00D61416"/>
    <w:rsid w:val="00D61EB9"/>
    <w:rsid w:val="00D63CCC"/>
    <w:rsid w:val="00D75813"/>
    <w:rsid w:val="00D821AC"/>
    <w:rsid w:val="00D86371"/>
    <w:rsid w:val="00D87F18"/>
    <w:rsid w:val="00D91F2B"/>
    <w:rsid w:val="00D94633"/>
    <w:rsid w:val="00D9792A"/>
    <w:rsid w:val="00DA505B"/>
    <w:rsid w:val="00DA61E2"/>
    <w:rsid w:val="00DA731A"/>
    <w:rsid w:val="00DB2C17"/>
    <w:rsid w:val="00DC4009"/>
    <w:rsid w:val="00DD0A2F"/>
    <w:rsid w:val="00DE060A"/>
    <w:rsid w:val="00DE5088"/>
    <w:rsid w:val="00DF13C3"/>
    <w:rsid w:val="00DF3304"/>
    <w:rsid w:val="00DF5D58"/>
    <w:rsid w:val="00E006AE"/>
    <w:rsid w:val="00E03A88"/>
    <w:rsid w:val="00E04AC2"/>
    <w:rsid w:val="00E067CF"/>
    <w:rsid w:val="00E06DDD"/>
    <w:rsid w:val="00E072C7"/>
    <w:rsid w:val="00E14E44"/>
    <w:rsid w:val="00E1638D"/>
    <w:rsid w:val="00E27DF1"/>
    <w:rsid w:val="00E31556"/>
    <w:rsid w:val="00E35623"/>
    <w:rsid w:val="00E36273"/>
    <w:rsid w:val="00E37E29"/>
    <w:rsid w:val="00E45582"/>
    <w:rsid w:val="00E4755B"/>
    <w:rsid w:val="00E5155C"/>
    <w:rsid w:val="00E51581"/>
    <w:rsid w:val="00E516FF"/>
    <w:rsid w:val="00E5593A"/>
    <w:rsid w:val="00E5716E"/>
    <w:rsid w:val="00E57661"/>
    <w:rsid w:val="00E6729D"/>
    <w:rsid w:val="00E70672"/>
    <w:rsid w:val="00E70FA5"/>
    <w:rsid w:val="00E713E3"/>
    <w:rsid w:val="00E763AD"/>
    <w:rsid w:val="00E76AF2"/>
    <w:rsid w:val="00E77DEE"/>
    <w:rsid w:val="00E81242"/>
    <w:rsid w:val="00E83219"/>
    <w:rsid w:val="00E863BC"/>
    <w:rsid w:val="00E9069E"/>
    <w:rsid w:val="00E90D53"/>
    <w:rsid w:val="00E96485"/>
    <w:rsid w:val="00EB40AE"/>
    <w:rsid w:val="00EB581A"/>
    <w:rsid w:val="00EC1CBE"/>
    <w:rsid w:val="00EC4A9A"/>
    <w:rsid w:val="00ED34B8"/>
    <w:rsid w:val="00ED534F"/>
    <w:rsid w:val="00EE3F74"/>
    <w:rsid w:val="00EE6B7C"/>
    <w:rsid w:val="00EF0EFC"/>
    <w:rsid w:val="00EF450C"/>
    <w:rsid w:val="00EF757D"/>
    <w:rsid w:val="00F02DD6"/>
    <w:rsid w:val="00F0339F"/>
    <w:rsid w:val="00F059B9"/>
    <w:rsid w:val="00F0627E"/>
    <w:rsid w:val="00F06AD9"/>
    <w:rsid w:val="00F22388"/>
    <w:rsid w:val="00F304E4"/>
    <w:rsid w:val="00F55D9E"/>
    <w:rsid w:val="00F61424"/>
    <w:rsid w:val="00F61AB0"/>
    <w:rsid w:val="00F63D51"/>
    <w:rsid w:val="00F76B3B"/>
    <w:rsid w:val="00F82810"/>
    <w:rsid w:val="00F87C9C"/>
    <w:rsid w:val="00F93E0A"/>
    <w:rsid w:val="00F96680"/>
    <w:rsid w:val="00FA1F21"/>
    <w:rsid w:val="00FA3B32"/>
    <w:rsid w:val="00FB0510"/>
    <w:rsid w:val="00FB669B"/>
    <w:rsid w:val="00FC123B"/>
    <w:rsid w:val="00FC21F8"/>
    <w:rsid w:val="00FC41AF"/>
    <w:rsid w:val="00FC5132"/>
    <w:rsid w:val="00FC58BB"/>
    <w:rsid w:val="00FD6A41"/>
    <w:rsid w:val="00FF36D1"/>
    <w:rsid w:val="00FF47F8"/>
    <w:rsid w:val="00FF59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4162"/>
    <w:pPr>
      <w:spacing w:after="120"/>
      <w:ind w:firstLine="284"/>
      <w:jc w:val="left"/>
    </w:pPr>
    <w:rPr>
      <w:rFonts w:ascii="Times New Roman" w:hAnsi="Times New Roman"/>
      <w:sz w:val="20"/>
    </w:rPr>
  </w:style>
  <w:style w:type="paragraph" w:styleId="Nagwek1">
    <w:name w:val="heading 1"/>
    <w:basedOn w:val="Normalny"/>
    <w:next w:val="Normalny"/>
    <w:link w:val="Nagwek1Znak"/>
    <w:uiPriority w:val="9"/>
    <w:qFormat/>
    <w:rsid w:val="007E4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42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4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JMEEHeading1">
    <w:name w:val="JMEE Heading 1"/>
    <w:basedOn w:val="Normalny"/>
    <w:next w:val="JMEEParagraphtext"/>
    <w:qFormat/>
    <w:rsid w:val="003F1E87"/>
    <w:pPr>
      <w:keepNext/>
      <w:numPr>
        <w:numId w:val="1"/>
      </w:numPr>
      <w:spacing w:before="240"/>
      <w:ind w:left="284" w:hanging="284"/>
    </w:pPr>
    <w:rPr>
      <w:b/>
      <w:caps/>
      <w:szCs w:val="20"/>
      <w:lang w:val="en-US"/>
    </w:rPr>
  </w:style>
  <w:style w:type="paragraph" w:customStyle="1" w:styleId="JMEEParagraphtext">
    <w:name w:val="JMEE Paragraph text"/>
    <w:basedOn w:val="Normalny"/>
    <w:qFormat/>
    <w:rsid w:val="000E66B6"/>
    <w:pPr>
      <w:spacing w:after="0" w:line="264" w:lineRule="auto"/>
      <w:jc w:val="both"/>
    </w:pPr>
    <w:rPr>
      <w:sz w:val="18"/>
      <w:lang w:val="en-US"/>
    </w:rPr>
  </w:style>
  <w:style w:type="paragraph" w:customStyle="1" w:styleId="JMEEHeading2">
    <w:name w:val="JMEE Heading 2"/>
    <w:basedOn w:val="JMEEParagraphtext"/>
    <w:next w:val="JMEEParagraphtext"/>
    <w:qFormat/>
    <w:rsid w:val="003F1E87"/>
    <w:pPr>
      <w:keepNext/>
      <w:numPr>
        <w:ilvl w:val="1"/>
        <w:numId w:val="1"/>
      </w:numPr>
      <w:spacing w:before="120" w:line="240" w:lineRule="auto"/>
      <w:ind w:left="426" w:hanging="426"/>
      <w:jc w:val="left"/>
    </w:pPr>
    <w:rPr>
      <w:b/>
      <w:szCs w:val="18"/>
    </w:rPr>
  </w:style>
  <w:style w:type="paragraph" w:customStyle="1" w:styleId="PDNagwek3">
    <w:name w:val="PD Nagłówek 3"/>
    <w:basedOn w:val="JMEEParagraphtext"/>
    <w:next w:val="JMEEParagraphtext"/>
    <w:qFormat/>
    <w:rsid w:val="006E318C"/>
    <w:pPr>
      <w:keepNext/>
      <w:keepLines/>
      <w:numPr>
        <w:ilvl w:val="2"/>
        <w:numId w:val="1"/>
      </w:numPr>
      <w:spacing w:before="240" w:after="120" w:line="240" w:lineRule="auto"/>
      <w:ind w:left="851" w:hanging="851"/>
      <w:jc w:val="left"/>
    </w:pPr>
    <w:rPr>
      <w:b/>
    </w:rPr>
  </w:style>
  <w:style w:type="paragraph" w:customStyle="1" w:styleId="PDNagwek4">
    <w:name w:val="PD Nagłówek 4"/>
    <w:basedOn w:val="PDNagwek3"/>
    <w:next w:val="JMEEParagraphtext"/>
    <w:qFormat/>
    <w:rsid w:val="006E318C"/>
    <w:pPr>
      <w:numPr>
        <w:ilvl w:val="3"/>
      </w:numPr>
      <w:ind w:left="992" w:hanging="992"/>
    </w:pPr>
    <w:rPr>
      <w:b w:val="0"/>
      <w:i/>
    </w:rPr>
  </w:style>
  <w:style w:type="paragraph" w:customStyle="1" w:styleId="JMEEArticletitle">
    <w:name w:val="JMEE Article title"/>
    <w:basedOn w:val="JMEEParagraphtext"/>
    <w:next w:val="JMEEParagraphtext"/>
    <w:qFormat/>
    <w:rsid w:val="00073E22"/>
    <w:pPr>
      <w:spacing w:before="600" w:after="360"/>
      <w:ind w:firstLine="0"/>
      <w:jc w:val="center"/>
    </w:pPr>
    <w:rPr>
      <w:rFonts w:cs="Times New Roman"/>
      <w:b/>
      <w:caps/>
      <w:noProof/>
      <w:sz w:val="32"/>
      <w:szCs w:val="32"/>
      <w:lang w:eastAsia="pl-PL"/>
    </w:rPr>
  </w:style>
  <w:style w:type="character" w:customStyle="1" w:styleId="Nagwek1Znak">
    <w:name w:val="Nagłówek 1 Znak"/>
    <w:basedOn w:val="Domylnaczcionkaakapitu"/>
    <w:link w:val="Nagwek1"/>
    <w:uiPriority w:val="9"/>
    <w:rsid w:val="007E427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7E427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E4277"/>
    <w:rPr>
      <w:rFonts w:asciiTheme="majorHAnsi" w:eastAsiaTheme="majorEastAsia" w:hAnsiTheme="majorHAnsi" w:cstheme="majorBidi"/>
      <w:b/>
      <w:bCs/>
      <w:color w:val="4F81BD" w:themeColor="accent1"/>
      <w:sz w:val="20"/>
    </w:rPr>
  </w:style>
  <w:style w:type="paragraph" w:styleId="Spistreci1">
    <w:name w:val="toc 1"/>
    <w:basedOn w:val="Normalny"/>
    <w:next w:val="Normalny"/>
    <w:autoRedefine/>
    <w:uiPriority w:val="39"/>
    <w:unhideWhenUsed/>
    <w:rsid w:val="00DD0A2F"/>
    <w:pPr>
      <w:tabs>
        <w:tab w:val="right" w:leader="dot" w:pos="9062"/>
      </w:tabs>
      <w:spacing w:after="100"/>
      <w:ind w:left="851" w:hanging="851"/>
    </w:pPr>
    <w:rPr>
      <w:noProof/>
      <w:sz w:val="24"/>
    </w:rPr>
  </w:style>
  <w:style w:type="paragraph" w:styleId="Spistreci2">
    <w:name w:val="toc 2"/>
    <w:basedOn w:val="Normalny"/>
    <w:next w:val="Normalny"/>
    <w:autoRedefine/>
    <w:uiPriority w:val="39"/>
    <w:unhideWhenUsed/>
    <w:rsid w:val="00CB17D9"/>
    <w:pPr>
      <w:keepNext/>
      <w:tabs>
        <w:tab w:val="left" w:pos="426"/>
        <w:tab w:val="right" w:leader="dot" w:pos="9062"/>
      </w:tabs>
      <w:spacing w:after="100"/>
      <w:ind w:left="425" w:hanging="425"/>
    </w:pPr>
    <w:rPr>
      <w:caps/>
      <w:noProof/>
      <w:sz w:val="24"/>
    </w:rPr>
  </w:style>
  <w:style w:type="paragraph" w:styleId="Spistreci3">
    <w:name w:val="toc 3"/>
    <w:basedOn w:val="Normalny"/>
    <w:next w:val="Normalny"/>
    <w:autoRedefine/>
    <w:uiPriority w:val="39"/>
    <w:unhideWhenUsed/>
    <w:rsid w:val="0081384D"/>
    <w:pPr>
      <w:tabs>
        <w:tab w:val="left" w:pos="993"/>
        <w:tab w:val="right" w:leader="dot" w:pos="9062"/>
      </w:tabs>
      <w:spacing w:after="100"/>
      <w:ind w:left="993" w:hanging="567"/>
    </w:pPr>
    <w:rPr>
      <w:noProof/>
      <w:sz w:val="24"/>
    </w:rPr>
  </w:style>
  <w:style w:type="character" w:styleId="Hipercze">
    <w:name w:val="Hyperlink"/>
    <w:basedOn w:val="Domylnaczcionkaakapitu"/>
    <w:uiPriority w:val="99"/>
    <w:unhideWhenUsed/>
    <w:rsid w:val="007E4277"/>
    <w:rPr>
      <w:color w:val="0000FF" w:themeColor="hyperlink"/>
      <w:u w:val="single"/>
    </w:rPr>
  </w:style>
  <w:style w:type="paragraph" w:styleId="Spistreci4">
    <w:name w:val="toc 4"/>
    <w:basedOn w:val="Normalny"/>
    <w:next w:val="Normalny"/>
    <w:autoRedefine/>
    <w:uiPriority w:val="39"/>
    <w:unhideWhenUsed/>
    <w:rsid w:val="0081384D"/>
    <w:pPr>
      <w:tabs>
        <w:tab w:val="left" w:pos="1701"/>
        <w:tab w:val="right" w:leader="dot" w:pos="9062"/>
      </w:tabs>
      <w:spacing w:after="100"/>
      <w:ind w:left="1701" w:hanging="708"/>
    </w:pPr>
    <w:rPr>
      <w:noProof/>
      <w:sz w:val="24"/>
      <w:szCs w:val="24"/>
    </w:rPr>
  </w:style>
  <w:style w:type="paragraph" w:customStyle="1" w:styleId="PDTytuspisutreci">
    <w:name w:val="PD Tytuł spisu treści"/>
    <w:basedOn w:val="JMEEArticletitle"/>
    <w:qFormat/>
    <w:rsid w:val="008F6E04"/>
  </w:style>
  <w:style w:type="paragraph" w:styleId="Tekstprzypisukocowego">
    <w:name w:val="endnote text"/>
    <w:basedOn w:val="Normalny"/>
    <w:link w:val="TekstprzypisukocowegoZnak"/>
    <w:uiPriority w:val="99"/>
    <w:semiHidden/>
    <w:unhideWhenUsed/>
    <w:rsid w:val="004A1D57"/>
    <w:pPr>
      <w:spacing w:after="0"/>
    </w:pPr>
    <w:rPr>
      <w:szCs w:val="20"/>
    </w:rPr>
  </w:style>
  <w:style w:type="character" w:customStyle="1" w:styleId="TekstprzypisukocowegoZnak">
    <w:name w:val="Tekst przypisu końcowego Znak"/>
    <w:basedOn w:val="Domylnaczcionkaakapitu"/>
    <w:link w:val="Tekstprzypisukocowego"/>
    <w:uiPriority w:val="99"/>
    <w:semiHidden/>
    <w:rsid w:val="004A1D57"/>
    <w:rPr>
      <w:rFonts w:ascii="Times New Roman" w:hAnsi="Times New Roman"/>
      <w:sz w:val="20"/>
      <w:szCs w:val="20"/>
    </w:rPr>
  </w:style>
  <w:style w:type="character" w:styleId="Odwoanieprzypisukocowego">
    <w:name w:val="endnote reference"/>
    <w:basedOn w:val="Domylnaczcionkaakapitu"/>
    <w:uiPriority w:val="99"/>
    <w:semiHidden/>
    <w:unhideWhenUsed/>
    <w:rsid w:val="004A1D57"/>
    <w:rPr>
      <w:vertAlign w:val="superscript"/>
    </w:rPr>
  </w:style>
  <w:style w:type="paragraph" w:styleId="Bezodstpw">
    <w:name w:val="No Spacing"/>
    <w:link w:val="BezodstpwZnak"/>
    <w:uiPriority w:val="1"/>
    <w:qFormat/>
    <w:rsid w:val="002E0DC9"/>
    <w:pPr>
      <w:jc w:val="both"/>
    </w:pPr>
    <w:rPr>
      <w:rFonts w:ascii="Times New Roman" w:hAnsi="Times New Roman"/>
      <w:color w:val="000000" w:themeColor="text1"/>
      <w:sz w:val="24"/>
    </w:rPr>
  </w:style>
  <w:style w:type="character" w:customStyle="1" w:styleId="BezodstpwZnak">
    <w:name w:val="Bez odstępów Znak"/>
    <w:basedOn w:val="Domylnaczcionkaakapitu"/>
    <w:link w:val="Bezodstpw"/>
    <w:uiPriority w:val="1"/>
    <w:rsid w:val="002E0DC9"/>
    <w:rPr>
      <w:rFonts w:ascii="Times New Roman" w:hAnsi="Times New Roman"/>
      <w:color w:val="000000" w:themeColor="text1"/>
      <w:sz w:val="24"/>
    </w:rPr>
  </w:style>
  <w:style w:type="paragraph" w:customStyle="1" w:styleId="JMEEBulletpoints">
    <w:name w:val="JMEE Bullet points"/>
    <w:basedOn w:val="JMEEParagraphtext"/>
    <w:qFormat/>
    <w:rsid w:val="003F1E87"/>
    <w:pPr>
      <w:numPr>
        <w:numId w:val="8"/>
      </w:numPr>
      <w:ind w:left="284" w:hanging="284"/>
    </w:pPr>
  </w:style>
  <w:style w:type="paragraph" w:customStyle="1" w:styleId="JMEENumberedlist">
    <w:name w:val="JMEE Numbered list"/>
    <w:basedOn w:val="JMEEParagraphtext"/>
    <w:qFormat/>
    <w:rsid w:val="003F1E87"/>
    <w:pPr>
      <w:numPr>
        <w:numId w:val="9"/>
      </w:numPr>
      <w:ind w:left="284" w:hanging="284"/>
      <w:jc w:val="left"/>
    </w:pPr>
    <w:rPr>
      <w:color w:val="000000"/>
    </w:rPr>
  </w:style>
  <w:style w:type="paragraph" w:styleId="Tekstdymka">
    <w:name w:val="Balloon Text"/>
    <w:basedOn w:val="Normalny"/>
    <w:link w:val="TekstdymkaZnak"/>
    <w:uiPriority w:val="99"/>
    <w:semiHidden/>
    <w:unhideWhenUsed/>
    <w:rsid w:val="00033BE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33BEB"/>
    <w:rPr>
      <w:rFonts w:ascii="Tahoma" w:hAnsi="Tahoma" w:cs="Tahoma"/>
      <w:sz w:val="16"/>
      <w:szCs w:val="16"/>
    </w:rPr>
  </w:style>
  <w:style w:type="paragraph" w:customStyle="1" w:styleId="JMEEMathematicalformula">
    <w:name w:val="JMEE Mathematical formula"/>
    <w:basedOn w:val="JMEEParagraphtext"/>
    <w:next w:val="JMEEParagraphtext"/>
    <w:qFormat/>
    <w:rsid w:val="003F1E87"/>
    <w:pPr>
      <w:tabs>
        <w:tab w:val="center" w:pos="1985"/>
        <w:tab w:val="right" w:pos="3969"/>
      </w:tabs>
    </w:pPr>
    <w:rPr>
      <w:rFonts w:cs="Times New Roman"/>
    </w:rPr>
  </w:style>
  <w:style w:type="paragraph" w:customStyle="1" w:styleId="wypunktowaniemgr">
    <w:name w:val="wypunktowanie_mgr"/>
    <w:basedOn w:val="Normalny"/>
    <w:link w:val="wypunktowaniemgrZnak"/>
    <w:qFormat/>
    <w:rsid w:val="002371AC"/>
    <w:pPr>
      <w:numPr>
        <w:numId w:val="12"/>
      </w:numPr>
      <w:spacing w:line="360" w:lineRule="auto"/>
      <w:ind w:left="714" w:hanging="357"/>
      <w:contextualSpacing/>
      <w:jc w:val="both"/>
    </w:pPr>
    <w:rPr>
      <w:rFonts w:eastAsiaTheme="minorEastAsia" w:cs="Times New Roman"/>
      <w:sz w:val="24"/>
      <w:szCs w:val="24"/>
    </w:rPr>
  </w:style>
  <w:style w:type="character" w:customStyle="1" w:styleId="wypunktowaniemgrZnak">
    <w:name w:val="wypunktowanie_mgr Znak"/>
    <w:basedOn w:val="Domylnaczcionkaakapitu"/>
    <w:link w:val="wypunktowaniemgr"/>
    <w:rsid w:val="002371AC"/>
    <w:rPr>
      <w:rFonts w:ascii="Times New Roman" w:eastAsiaTheme="minorEastAsia" w:hAnsi="Times New Roman" w:cs="Times New Roman"/>
      <w:sz w:val="24"/>
      <w:szCs w:val="24"/>
    </w:rPr>
  </w:style>
  <w:style w:type="paragraph" w:styleId="Nagwek">
    <w:name w:val="header"/>
    <w:basedOn w:val="Normalny"/>
    <w:link w:val="NagwekZnak"/>
    <w:uiPriority w:val="99"/>
    <w:unhideWhenUsed/>
    <w:rsid w:val="00E5593A"/>
    <w:pPr>
      <w:tabs>
        <w:tab w:val="center" w:pos="4536"/>
        <w:tab w:val="right" w:pos="9072"/>
      </w:tabs>
      <w:spacing w:after="0"/>
    </w:pPr>
  </w:style>
  <w:style w:type="character" w:customStyle="1" w:styleId="NagwekZnak">
    <w:name w:val="Nagłówek Znak"/>
    <w:basedOn w:val="Domylnaczcionkaakapitu"/>
    <w:link w:val="Nagwek"/>
    <w:uiPriority w:val="99"/>
    <w:rsid w:val="00E5593A"/>
    <w:rPr>
      <w:rFonts w:ascii="Times New Roman" w:hAnsi="Times New Roman"/>
      <w:sz w:val="20"/>
    </w:rPr>
  </w:style>
  <w:style w:type="paragraph" w:styleId="Stopka">
    <w:name w:val="footer"/>
    <w:basedOn w:val="Normalny"/>
    <w:link w:val="StopkaZnak"/>
    <w:uiPriority w:val="99"/>
    <w:unhideWhenUsed/>
    <w:rsid w:val="00E5593A"/>
    <w:pPr>
      <w:tabs>
        <w:tab w:val="center" w:pos="4536"/>
        <w:tab w:val="right" w:pos="9072"/>
      </w:tabs>
      <w:spacing w:after="0"/>
    </w:pPr>
  </w:style>
  <w:style w:type="character" w:customStyle="1" w:styleId="StopkaZnak">
    <w:name w:val="Stopka Znak"/>
    <w:basedOn w:val="Domylnaczcionkaakapitu"/>
    <w:link w:val="Stopka"/>
    <w:uiPriority w:val="99"/>
    <w:rsid w:val="00E5593A"/>
    <w:rPr>
      <w:rFonts w:ascii="Times New Roman" w:hAnsi="Times New Roman"/>
      <w:sz w:val="20"/>
    </w:rPr>
  </w:style>
  <w:style w:type="paragraph" w:customStyle="1" w:styleId="JMEEFigure">
    <w:name w:val="JMEE Figure"/>
    <w:basedOn w:val="JMEEParagraphtext"/>
    <w:next w:val="JMEEFigurecaption"/>
    <w:qFormat/>
    <w:rsid w:val="000E66B6"/>
    <w:pPr>
      <w:keepNext/>
      <w:spacing w:before="240" w:after="120" w:line="240" w:lineRule="auto"/>
      <w:ind w:firstLine="0"/>
      <w:jc w:val="center"/>
    </w:pPr>
    <w:rPr>
      <w:noProof/>
      <w:lang w:eastAsia="pl-PL"/>
    </w:rPr>
  </w:style>
  <w:style w:type="paragraph" w:customStyle="1" w:styleId="JMEEFigurecaption">
    <w:name w:val="JMEE Figure caption"/>
    <w:basedOn w:val="JMEEParagraphtext"/>
    <w:next w:val="JMEEParagraphtext"/>
    <w:qFormat/>
    <w:rsid w:val="0016147F"/>
    <w:pPr>
      <w:numPr>
        <w:numId w:val="15"/>
      </w:numPr>
      <w:spacing w:after="240" w:line="240" w:lineRule="auto"/>
      <w:ind w:left="567" w:hanging="567"/>
      <w:jc w:val="left"/>
    </w:pPr>
    <w:rPr>
      <w:sz w:val="16"/>
      <w:szCs w:val="16"/>
    </w:rPr>
  </w:style>
  <w:style w:type="paragraph" w:customStyle="1" w:styleId="JMEETabletitle">
    <w:name w:val="JMEE Table title"/>
    <w:basedOn w:val="JMEEParagraphtext"/>
    <w:next w:val="JMEEParagraphtext"/>
    <w:qFormat/>
    <w:rsid w:val="000E66B6"/>
    <w:pPr>
      <w:keepNext/>
      <w:numPr>
        <w:numId w:val="17"/>
      </w:numPr>
      <w:spacing w:before="240" w:after="120" w:line="240" w:lineRule="auto"/>
      <w:ind w:left="567" w:hanging="567"/>
      <w:jc w:val="left"/>
    </w:pPr>
    <w:rPr>
      <w:sz w:val="16"/>
      <w:szCs w:val="20"/>
    </w:rPr>
  </w:style>
  <w:style w:type="paragraph" w:customStyle="1" w:styleId="nsos-tytutabeli">
    <w:name w:val="nsos-tytuł_tabeli"/>
    <w:basedOn w:val="Legenda"/>
    <w:qFormat/>
    <w:rsid w:val="0029030F"/>
    <w:pPr>
      <w:spacing w:after="120"/>
      <w:ind w:firstLine="0"/>
    </w:pPr>
    <w:rPr>
      <w:rFonts w:ascii="Arial" w:hAnsi="Arial" w:cs="Arial"/>
      <w:b w:val="0"/>
      <w:color w:val="auto"/>
    </w:rPr>
  </w:style>
  <w:style w:type="paragraph" w:styleId="Legenda">
    <w:name w:val="caption"/>
    <w:basedOn w:val="Normalny"/>
    <w:next w:val="Normalny"/>
    <w:uiPriority w:val="35"/>
    <w:semiHidden/>
    <w:unhideWhenUsed/>
    <w:qFormat/>
    <w:rsid w:val="0029030F"/>
    <w:pPr>
      <w:spacing w:after="200"/>
    </w:pPr>
    <w:rPr>
      <w:b/>
      <w:bCs/>
      <w:color w:val="4F81BD" w:themeColor="accent1"/>
      <w:sz w:val="18"/>
      <w:szCs w:val="18"/>
    </w:rPr>
  </w:style>
  <w:style w:type="paragraph" w:customStyle="1" w:styleId="JMEETabletext">
    <w:name w:val="JMEE Table text"/>
    <w:basedOn w:val="JMEEParagraphtext"/>
    <w:next w:val="JMEEParagraphtext"/>
    <w:qFormat/>
    <w:rsid w:val="000206CF"/>
    <w:pPr>
      <w:keepNext/>
      <w:keepLines/>
      <w:spacing w:line="240" w:lineRule="auto"/>
      <w:jc w:val="center"/>
    </w:pPr>
    <w:rPr>
      <w:sz w:val="20"/>
    </w:rPr>
  </w:style>
  <w:style w:type="table" w:styleId="Tabela-Siatka">
    <w:name w:val="Table Grid"/>
    <w:basedOn w:val="Standardowy"/>
    <w:uiPriority w:val="59"/>
    <w:rsid w:val="000206CF"/>
    <w:pPr>
      <w:spacing w:line="240" w:lineRule="exact"/>
      <w:ind w:left="907" w:hanging="907"/>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abela">
    <w:name w:val="H_tabela"/>
    <w:basedOn w:val="Normalny"/>
    <w:next w:val="Normalny"/>
    <w:qFormat/>
    <w:rsid w:val="000206CF"/>
    <w:pPr>
      <w:keepNext/>
      <w:spacing w:before="120" w:after="240"/>
      <w:ind w:firstLine="0"/>
      <w:contextualSpacing/>
      <w:jc w:val="center"/>
      <w:outlineLvl w:val="0"/>
    </w:pPr>
    <w:rPr>
      <w:rFonts w:eastAsia="Times New Roman" w:cs="Times New Roman"/>
      <w:noProof/>
      <w:sz w:val="18"/>
      <w:szCs w:val="20"/>
      <w:lang w:eastAsia="pl-PL"/>
    </w:rPr>
  </w:style>
  <w:style w:type="paragraph" w:customStyle="1" w:styleId="JMEEBibliography">
    <w:name w:val="JMEE Bibliography"/>
    <w:basedOn w:val="JMEEParagraphtext"/>
    <w:qFormat/>
    <w:rsid w:val="005428F6"/>
    <w:pPr>
      <w:numPr>
        <w:numId w:val="38"/>
      </w:numPr>
      <w:spacing w:line="240" w:lineRule="auto"/>
      <w:ind w:left="284" w:hanging="284"/>
    </w:pPr>
    <w:rPr>
      <w:rFonts w:cs="Times New Roman"/>
      <w:sz w:val="16"/>
      <w:lang w:val="de-AT"/>
    </w:rPr>
  </w:style>
  <w:style w:type="paragraph" w:customStyle="1" w:styleId="PDSpisrysunkw">
    <w:name w:val="PD Spis rysunków"/>
    <w:basedOn w:val="Spistreci1"/>
    <w:qFormat/>
    <w:rsid w:val="007B279D"/>
  </w:style>
  <w:style w:type="paragraph" w:customStyle="1" w:styleId="PDSpistabel">
    <w:name w:val="PD Spis tabel"/>
    <w:basedOn w:val="Spistreci1"/>
    <w:qFormat/>
    <w:rsid w:val="00692320"/>
  </w:style>
  <w:style w:type="paragraph" w:customStyle="1" w:styleId="PDTabelatytukolejnacz">
    <w:name w:val="PD Tabela tytuł kolejna część"/>
    <w:basedOn w:val="JMEETabletitle"/>
    <w:next w:val="JMEEParagraphtext"/>
    <w:qFormat/>
    <w:rsid w:val="00E5155C"/>
    <w:pPr>
      <w:numPr>
        <w:numId w:val="0"/>
      </w:numPr>
      <w:ind w:left="851" w:hanging="851"/>
    </w:pPr>
  </w:style>
  <w:style w:type="paragraph" w:customStyle="1" w:styleId="JMEESymbolsandacronymslist">
    <w:name w:val="JMEE Symbols and acronyms list"/>
    <w:basedOn w:val="JMEEParagraphtext"/>
    <w:next w:val="JMEEParagraphtext"/>
    <w:qFormat/>
    <w:rsid w:val="00816E21"/>
    <w:pPr>
      <w:tabs>
        <w:tab w:val="left" w:pos="546"/>
        <w:tab w:val="left" w:pos="709"/>
      </w:tabs>
      <w:ind w:left="709" w:hanging="709"/>
      <w:jc w:val="left"/>
    </w:pPr>
    <w:rPr>
      <w:rFonts w:cs="Times New Roman"/>
      <w:sz w:val="16"/>
    </w:rPr>
  </w:style>
  <w:style w:type="paragraph" w:styleId="Spistreci5">
    <w:name w:val="toc 5"/>
    <w:basedOn w:val="Normalny"/>
    <w:next w:val="Normalny"/>
    <w:autoRedefine/>
    <w:uiPriority w:val="39"/>
    <w:unhideWhenUsed/>
    <w:rsid w:val="00D63CCC"/>
    <w:pPr>
      <w:tabs>
        <w:tab w:val="right" w:leader="dot" w:pos="9061"/>
      </w:tabs>
      <w:spacing w:after="100"/>
      <w:ind w:left="2552" w:hanging="851"/>
    </w:pPr>
    <w:rPr>
      <w:rFonts w:cs="Times New Roman"/>
      <w:noProof/>
      <w:sz w:val="24"/>
      <w:szCs w:val="24"/>
    </w:rPr>
  </w:style>
  <w:style w:type="character" w:styleId="Odwoaniedokomentarza">
    <w:name w:val="annotation reference"/>
    <w:basedOn w:val="Domylnaczcionkaakapitu"/>
    <w:uiPriority w:val="99"/>
    <w:semiHidden/>
    <w:unhideWhenUsed/>
    <w:rsid w:val="000771A9"/>
    <w:rPr>
      <w:sz w:val="16"/>
      <w:szCs w:val="16"/>
    </w:rPr>
  </w:style>
  <w:style w:type="paragraph" w:styleId="Tekstkomentarza">
    <w:name w:val="annotation text"/>
    <w:basedOn w:val="Normalny"/>
    <w:link w:val="TekstkomentarzaZnak"/>
    <w:uiPriority w:val="99"/>
    <w:semiHidden/>
    <w:unhideWhenUsed/>
    <w:rsid w:val="000771A9"/>
    <w:rPr>
      <w:szCs w:val="20"/>
    </w:rPr>
  </w:style>
  <w:style w:type="character" w:customStyle="1" w:styleId="TekstkomentarzaZnak">
    <w:name w:val="Tekst komentarza Znak"/>
    <w:basedOn w:val="Domylnaczcionkaakapitu"/>
    <w:link w:val="Tekstkomentarza"/>
    <w:uiPriority w:val="99"/>
    <w:semiHidden/>
    <w:rsid w:val="000771A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771A9"/>
    <w:rPr>
      <w:b/>
      <w:bCs/>
    </w:rPr>
  </w:style>
  <w:style w:type="character" w:customStyle="1" w:styleId="TematkomentarzaZnak">
    <w:name w:val="Temat komentarza Znak"/>
    <w:basedOn w:val="TekstkomentarzaZnak"/>
    <w:link w:val="Tematkomentarza"/>
    <w:uiPriority w:val="99"/>
    <w:semiHidden/>
    <w:rsid w:val="000771A9"/>
    <w:rPr>
      <w:rFonts w:ascii="Times New Roman" w:hAnsi="Times New Roman"/>
      <w:b/>
      <w:bCs/>
      <w:sz w:val="20"/>
      <w:szCs w:val="20"/>
    </w:rPr>
  </w:style>
  <w:style w:type="paragraph" w:customStyle="1" w:styleId="PDSpisbibliografiiprzykady">
    <w:name w:val="PD Spis bibliografii przykłady"/>
    <w:basedOn w:val="JMEEBibliography"/>
    <w:qFormat/>
    <w:rsid w:val="00A253A7"/>
    <w:pPr>
      <w:numPr>
        <w:numId w:val="0"/>
      </w:numPr>
      <w:ind w:left="567" w:hanging="425"/>
    </w:pPr>
    <w:rPr>
      <w:lang w:val="pl-PL"/>
    </w:rPr>
  </w:style>
  <w:style w:type="paragraph" w:customStyle="1" w:styleId="JMEEArticleinfo">
    <w:name w:val="JMEE Article info"/>
    <w:basedOn w:val="JMEEParagraphtext"/>
    <w:qFormat/>
    <w:rsid w:val="00FA3B32"/>
    <w:pPr>
      <w:pBdr>
        <w:bottom w:val="single" w:sz="4" w:space="1" w:color="auto"/>
      </w:pBdr>
      <w:ind w:firstLine="0"/>
      <w:jc w:val="right"/>
    </w:pPr>
    <w:rPr>
      <w:rFonts w:asciiTheme="minorHAnsi" w:hAnsiTheme="minorHAnsi" w:cstheme="minorHAnsi"/>
      <w:noProof/>
      <w:sz w:val="16"/>
      <w:szCs w:val="16"/>
      <w:lang w:eastAsia="pl-PL"/>
    </w:rPr>
  </w:style>
  <w:style w:type="paragraph" w:customStyle="1" w:styleId="JMEEAbstract">
    <w:name w:val="JMEE Abstract"/>
    <w:basedOn w:val="JMEEParagraphtext"/>
    <w:qFormat/>
    <w:rsid w:val="000E66B6"/>
    <w:pPr>
      <w:spacing w:before="240" w:after="120"/>
      <w:ind w:left="567" w:right="566" w:firstLine="0"/>
    </w:pPr>
    <w:rPr>
      <w:iCs/>
      <w:lang w:eastAsia="pl-PL"/>
    </w:rPr>
  </w:style>
  <w:style w:type="paragraph" w:customStyle="1" w:styleId="JMEEKeywords">
    <w:name w:val="JMEE Keywords"/>
    <w:basedOn w:val="JMEEParagraphtext"/>
    <w:qFormat/>
    <w:rsid w:val="000E66B6"/>
    <w:pPr>
      <w:spacing w:before="120" w:after="240"/>
      <w:ind w:left="567" w:right="566" w:firstLine="0"/>
    </w:pPr>
    <w:rPr>
      <w:lang w:eastAsia="pl-PL"/>
    </w:rPr>
  </w:style>
  <w:style w:type="paragraph" w:customStyle="1" w:styleId="JMEEAuthors">
    <w:name w:val="JMEE Authors"/>
    <w:basedOn w:val="JMEEParagraphtext"/>
    <w:qFormat/>
    <w:rsid w:val="00FA3B32"/>
    <w:pPr>
      <w:spacing w:after="120"/>
      <w:ind w:firstLine="0"/>
      <w:jc w:val="center"/>
    </w:pPr>
    <w:rPr>
      <w:sz w:val="20"/>
      <w:szCs w:val="20"/>
      <w:lang w:val="pl-PL" w:eastAsia="pl-PL"/>
    </w:rPr>
  </w:style>
  <w:style w:type="paragraph" w:customStyle="1" w:styleId="JMEEAffiliations">
    <w:name w:val="JMEE Affiliations"/>
    <w:basedOn w:val="JMEEParagraphtext"/>
    <w:qFormat/>
    <w:rsid w:val="00FA3B32"/>
    <w:pPr>
      <w:spacing w:after="120"/>
      <w:ind w:left="567" w:right="566" w:firstLine="0"/>
      <w:contextualSpacing/>
      <w:jc w:val="center"/>
    </w:pPr>
    <w:rPr>
      <w:sz w:val="16"/>
      <w:szCs w:val="16"/>
      <w:lang w:eastAsia="pl-PL"/>
    </w:rPr>
  </w:style>
  <w:style w:type="paragraph" w:customStyle="1" w:styleId="JMEEReceived">
    <w:name w:val="JMEE Received"/>
    <w:basedOn w:val="JMEEParagraphtext"/>
    <w:qFormat/>
    <w:rsid w:val="00FA3B32"/>
    <w:pPr>
      <w:spacing w:before="240" w:after="240"/>
      <w:ind w:left="567" w:right="566" w:firstLine="0"/>
      <w:jc w:val="center"/>
    </w:pPr>
    <w:rPr>
      <w:i/>
      <w:sz w:val="16"/>
      <w:szCs w:val="16"/>
      <w:lang w:eastAsia="pl-PL"/>
    </w:rPr>
  </w:style>
  <w:style w:type="paragraph" w:customStyle="1" w:styleId="JMEEHeading3">
    <w:name w:val="JMEE Heading 3"/>
    <w:basedOn w:val="JMEEHeading1"/>
    <w:qFormat/>
    <w:rsid w:val="00BA678C"/>
    <w:pPr>
      <w:numPr>
        <w:numId w:val="0"/>
      </w:numPr>
    </w:pPr>
    <w:rPr>
      <w:caps w:val="0"/>
    </w:rPr>
  </w:style>
  <w:style w:type="paragraph" w:customStyle="1" w:styleId="Hnormalny">
    <w:name w:val="H_normalny"/>
    <w:basedOn w:val="Normalny"/>
    <w:qFormat/>
    <w:rsid w:val="0057389C"/>
    <w:pPr>
      <w:spacing w:after="240" w:line="260" w:lineRule="exact"/>
      <w:ind w:firstLine="567"/>
      <w:contextualSpacing/>
      <w:jc w:val="both"/>
      <w:outlineLvl w:val="0"/>
    </w:pPr>
    <w:rPr>
      <w:rFonts w:eastAsia="Calibri" w:cs="Times New Roman"/>
      <w:sz w:val="22"/>
    </w:rPr>
  </w:style>
  <w:style w:type="paragraph" w:customStyle="1" w:styleId="Hbibliografia">
    <w:name w:val="H_bibliografia"/>
    <w:basedOn w:val="Hnormalny"/>
    <w:qFormat/>
    <w:rsid w:val="005428F6"/>
    <w:pPr>
      <w:numPr>
        <w:numId w:val="44"/>
      </w:numPr>
      <w:spacing w:line="240" w:lineRule="auto"/>
      <w:ind w:left="426" w:hanging="426"/>
    </w:pPr>
    <w:rPr>
      <w:color w:val="000000"/>
      <w:sz w:val="20"/>
      <w:lang w:val="de-DE"/>
    </w:rPr>
  </w:style>
  <w:style w:type="paragraph" w:customStyle="1" w:styleId="JMEEBiographicalnote">
    <w:name w:val="JMEE Biographical note"/>
    <w:basedOn w:val="JMEEParagraphtext"/>
    <w:qFormat/>
    <w:rsid w:val="009B5965"/>
    <w:pPr>
      <w:spacing w:after="240"/>
      <w:ind w:firstLine="0"/>
    </w:pPr>
    <w:rPr>
      <w:sz w:val="16"/>
      <w:lang w:val="en-GB"/>
    </w:rPr>
  </w:style>
  <w:style w:type="paragraph" w:customStyle="1" w:styleId="JMEEAcknowledgements">
    <w:name w:val="JMEE Acknowledgements"/>
    <w:basedOn w:val="JMEEParagraphtext"/>
    <w:qFormat/>
    <w:rsid w:val="00BA678C"/>
    <w:rPr>
      <w:sz w:val="16"/>
      <w:lang w:val="en-GB"/>
    </w:rPr>
  </w:style>
  <w:style w:type="paragraph" w:customStyle="1" w:styleId="JMEEHeading4">
    <w:name w:val="JMEE Heading 4"/>
    <w:basedOn w:val="JMEEHeading3"/>
    <w:qFormat/>
    <w:rsid w:val="00BA678C"/>
    <w:pPr>
      <w:spacing w:before="120" w:after="60"/>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44CC2-C0F8-4902-9CB2-18866400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3878</Words>
  <Characters>23273</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Paweł Sutowski</cp:lastModifiedBy>
  <cp:revision>13</cp:revision>
  <cp:lastPrinted>2017-05-16T07:41:00Z</cp:lastPrinted>
  <dcterms:created xsi:type="dcterms:W3CDTF">2017-05-07T19:33:00Z</dcterms:created>
  <dcterms:modified xsi:type="dcterms:W3CDTF">2017-05-16T07:41:00Z</dcterms:modified>
</cp:coreProperties>
</file>